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15" w:tblpY="-574"/>
        <w:tblW w:w="0" w:type="auto"/>
        <w:tblLook w:val="04A0" w:firstRow="1" w:lastRow="0" w:firstColumn="1" w:lastColumn="0" w:noHBand="0" w:noVBand="1"/>
      </w:tblPr>
      <w:tblGrid>
        <w:gridCol w:w="387"/>
      </w:tblGrid>
      <w:tr w:rsidR="00214D50" w:rsidTr="00214D50">
        <w:trPr>
          <w:trHeight w:val="130"/>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4D50" w:rsidRPr="00214D50" w:rsidRDefault="00214D50" w:rsidP="00214D50">
            <w:pPr>
              <w:pStyle w:val="Heading1"/>
              <w:outlineLvl w:val="0"/>
              <w:rPr>
                <w:rFonts w:eastAsiaTheme="minorEastAsia"/>
                <w:noProof/>
                <w:sz w:val="2"/>
                <w:lang w:eastAsia="en-GB"/>
              </w:rPr>
            </w:pPr>
          </w:p>
        </w:tc>
      </w:tr>
      <w:tr w:rsidR="00214D50" w:rsidTr="002502B5">
        <w:trPr>
          <w:trHeight w:val="4618"/>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E2A54"/>
          </w:tcPr>
          <w:p w:rsidR="00214D50" w:rsidRDefault="00214D50" w:rsidP="00214D50">
            <w:pPr>
              <w:pStyle w:val="Heading1"/>
              <w:outlineLvl w:val="0"/>
              <w:rPr>
                <w:rFonts w:eastAsiaTheme="minorEastAsia"/>
                <w:noProof/>
                <w:lang w:eastAsia="en-GB"/>
              </w:rPr>
            </w:pPr>
          </w:p>
        </w:tc>
      </w:tr>
      <w:tr w:rsidR="00214D50" w:rsidTr="00214D50">
        <w:trPr>
          <w:trHeight w:val="559"/>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4D50" w:rsidRDefault="00214D50" w:rsidP="00214D50">
            <w:pPr>
              <w:pStyle w:val="Heading1"/>
              <w:outlineLvl w:val="0"/>
              <w:rPr>
                <w:rFonts w:eastAsiaTheme="minorEastAsia"/>
                <w:noProof/>
                <w:lang w:eastAsia="en-GB"/>
              </w:rPr>
            </w:pPr>
          </w:p>
        </w:tc>
      </w:tr>
      <w:tr w:rsidR="00214D50" w:rsidTr="00214D50">
        <w:trPr>
          <w:trHeight w:val="4055"/>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rsidR="00214D50" w:rsidRDefault="00214D50" w:rsidP="00214D50">
            <w:pPr>
              <w:pStyle w:val="Heading1"/>
              <w:outlineLvl w:val="0"/>
              <w:rPr>
                <w:rFonts w:eastAsiaTheme="minorEastAsia"/>
                <w:noProof/>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Pr="00214D50" w:rsidRDefault="00214D50" w:rsidP="00214D50">
            <w:pPr>
              <w:rPr>
                <w:lang w:eastAsia="en-GB"/>
              </w:rPr>
            </w:pPr>
          </w:p>
        </w:tc>
      </w:tr>
      <w:tr w:rsidR="00214D50" w:rsidTr="00214D50">
        <w:trPr>
          <w:trHeight w:val="271"/>
        </w:trPr>
        <w:tc>
          <w:tcPr>
            <w:tcW w:w="387" w:type="dxa"/>
            <w:tcBorders>
              <w:top w:val="single" w:sz="4" w:space="0" w:color="FFFFFF" w:themeColor="background1"/>
              <w:left w:val="single" w:sz="4" w:space="0" w:color="FFFFFF" w:themeColor="background1"/>
              <w:right w:val="single" w:sz="4" w:space="0" w:color="FFFFFF" w:themeColor="background1"/>
            </w:tcBorders>
          </w:tcPr>
          <w:p w:rsidR="00214D50" w:rsidRDefault="00214D50" w:rsidP="00214D50">
            <w:pPr>
              <w:pStyle w:val="Heading1"/>
              <w:outlineLvl w:val="0"/>
              <w:rPr>
                <w:rFonts w:eastAsiaTheme="minorEastAsia"/>
                <w:noProof/>
                <w:lang w:eastAsia="en-GB"/>
              </w:rPr>
            </w:pPr>
          </w:p>
        </w:tc>
      </w:tr>
      <w:tr w:rsidR="00214D50" w:rsidTr="00214D50">
        <w:trPr>
          <w:trHeight w:val="4334"/>
        </w:trPr>
        <w:tc>
          <w:tcPr>
            <w:tcW w:w="387" w:type="dxa"/>
            <w:tcBorders>
              <w:right w:val="single" w:sz="4" w:space="0" w:color="FFFFFF" w:themeColor="background1"/>
            </w:tcBorders>
            <w:shd w:val="clear" w:color="auto" w:fill="006600"/>
          </w:tcPr>
          <w:p w:rsidR="00214D50" w:rsidRDefault="00214D50" w:rsidP="00214D50">
            <w:pPr>
              <w:pStyle w:val="Heading1"/>
              <w:outlineLvl w:val="0"/>
              <w:rPr>
                <w:rFonts w:eastAsiaTheme="minorEastAsia"/>
                <w:noProof/>
                <w:lang w:eastAsia="en-GB"/>
              </w:rPr>
            </w:pPr>
          </w:p>
        </w:tc>
      </w:tr>
    </w:tbl>
    <w:p w:rsidR="00214D50" w:rsidRDefault="00214D50" w:rsidP="009669F6">
      <w:pPr>
        <w:rPr>
          <w:rFonts w:eastAsiaTheme="minorEastAsia"/>
          <w:noProof/>
          <w:lang w:eastAsia="en-GB"/>
        </w:rPr>
      </w:pPr>
      <w:bookmarkStart w:id="0" w:name="_Toc500168817"/>
      <w:bookmarkStart w:id="1" w:name="_Toc500168960"/>
      <w:r>
        <w:rPr>
          <w:noProof/>
          <w:lang w:eastAsia="en-GB"/>
        </w:rPr>
        <w:drawing>
          <wp:anchor distT="0" distB="0" distL="114300" distR="114300" simplePos="0" relativeHeight="251716608" behindDoc="1" locked="0" layoutInCell="1" allowOverlap="1" wp14:anchorId="398D6BB1" wp14:editId="0169419E">
            <wp:simplePos x="0" y="0"/>
            <wp:positionH relativeFrom="margin">
              <wp:posOffset>628650</wp:posOffset>
            </wp:positionH>
            <wp:positionV relativeFrom="margin">
              <wp:posOffset>98425</wp:posOffset>
            </wp:positionV>
            <wp:extent cx="5060315" cy="2546350"/>
            <wp:effectExtent l="0" t="0" r="6985" b="6350"/>
            <wp:wrapTight wrapText="bothSides">
              <wp:wrapPolygon edited="0">
                <wp:start x="0" y="0"/>
                <wp:lineTo x="0" y="21492"/>
                <wp:lineTo x="21549" y="21492"/>
                <wp:lineTo x="21549" y="0"/>
                <wp:lineTo x="0" y="0"/>
              </wp:wrapPolygon>
            </wp:wrapTight>
            <wp:docPr id="8" name="Picture 8" descr="C:\Users\9473\Pictures\victim First Logos\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473\Pictures\victim First Logos\Orig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315" cy="2546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Pr="004B40CE" w:rsidRDefault="00214D50" w:rsidP="00214D50">
      <w:pPr>
        <w:jc w:val="center"/>
        <w:rPr>
          <w:rFonts w:cs="Arial"/>
          <w:b/>
          <w:sz w:val="56"/>
          <w:szCs w:val="72"/>
        </w:rPr>
      </w:pPr>
      <w:r w:rsidRPr="004B40CE">
        <w:rPr>
          <w:rFonts w:cs="Arial"/>
          <w:b/>
          <w:sz w:val="56"/>
          <w:szCs w:val="72"/>
        </w:rPr>
        <w:t>Annual Report</w:t>
      </w:r>
    </w:p>
    <w:p w:rsidR="00214D50" w:rsidRDefault="00214D50" w:rsidP="00214D50">
      <w:pPr>
        <w:jc w:val="center"/>
        <w:rPr>
          <w:rFonts w:cs="Arial"/>
          <w:b/>
          <w:sz w:val="40"/>
          <w:szCs w:val="44"/>
        </w:rPr>
      </w:pPr>
      <w:r>
        <w:rPr>
          <w:rFonts w:cs="Arial"/>
          <w:b/>
          <w:sz w:val="40"/>
          <w:szCs w:val="44"/>
        </w:rPr>
        <w:t xml:space="preserve">Year 2: </w:t>
      </w:r>
      <w:r w:rsidRPr="004B40CE">
        <w:rPr>
          <w:rFonts w:cs="Arial"/>
          <w:b/>
          <w:sz w:val="40"/>
          <w:szCs w:val="44"/>
        </w:rPr>
        <w:t>1</w:t>
      </w:r>
      <w:r w:rsidRPr="004B40CE">
        <w:rPr>
          <w:rFonts w:cs="Arial"/>
          <w:b/>
          <w:sz w:val="40"/>
          <w:szCs w:val="44"/>
          <w:vertAlign w:val="superscript"/>
        </w:rPr>
        <w:t>st</w:t>
      </w:r>
      <w:r w:rsidRPr="004B40CE">
        <w:rPr>
          <w:rFonts w:cs="Arial"/>
          <w:b/>
          <w:sz w:val="40"/>
          <w:szCs w:val="44"/>
        </w:rPr>
        <w:t xml:space="preserve"> October 201</w:t>
      </w:r>
      <w:r>
        <w:rPr>
          <w:rFonts w:cs="Arial"/>
          <w:b/>
          <w:sz w:val="40"/>
          <w:szCs w:val="44"/>
        </w:rPr>
        <w:t>6</w:t>
      </w:r>
      <w:r w:rsidRPr="004B40CE">
        <w:rPr>
          <w:rFonts w:cs="Arial"/>
          <w:b/>
          <w:sz w:val="40"/>
          <w:szCs w:val="44"/>
        </w:rPr>
        <w:t xml:space="preserve"> – 30</w:t>
      </w:r>
      <w:r w:rsidRPr="004B40CE">
        <w:rPr>
          <w:rFonts w:cs="Arial"/>
          <w:b/>
          <w:sz w:val="40"/>
          <w:szCs w:val="44"/>
          <w:vertAlign w:val="superscript"/>
        </w:rPr>
        <w:t>th</w:t>
      </w:r>
      <w:r>
        <w:rPr>
          <w:rFonts w:cs="Arial"/>
          <w:b/>
          <w:sz w:val="40"/>
          <w:szCs w:val="44"/>
        </w:rPr>
        <w:t xml:space="preserve"> September 2017</w:t>
      </w:r>
    </w:p>
    <w:p w:rsidR="00214D50" w:rsidRDefault="00214D50" w:rsidP="00214D50">
      <w:pPr>
        <w:jc w:val="center"/>
        <w:rPr>
          <w:rFonts w:cs="Arial"/>
          <w:b/>
          <w:sz w:val="40"/>
          <w:szCs w:val="44"/>
        </w:rPr>
      </w:pPr>
    </w:p>
    <w:p w:rsidR="00214D50" w:rsidRDefault="00214D50" w:rsidP="00214D50">
      <w:pPr>
        <w:jc w:val="center"/>
        <w:rPr>
          <w:rFonts w:cs="Arial"/>
          <w:b/>
          <w:sz w:val="40"/>
          <w:szCs w:val="44"/>
        </w:rPr>
      </w:pPr>
    </w:p>
    <w:p w:rsidR="00214D50" w:rsidRDefault="00214D50" w:rsidP="00214D50">
      <w:pPr>
        <w:jc w:val="center"/>
        <w:rPr>
          <w:rFonts w:cs="Arial"/>
          <w:b/>
          <w:sz w:val="40"/>
          <w:szCs w:val="44"/>
        </w:rPr>
      </w:pPr>
    </w:p>
    <w:p w:rsidR="00214D50" w:rsidRDefault="00214D50" w:rsidP="00214D50">
      <w:pPr>
        <w:jc w:val="center"/>
        <w:rPr>
          <w:rFonts w:cs="Arial"/>
          <w:b/>
          <w:sz w:val="40"/>
          <w:szCs w:val="44"/>
        </w:rPr>
      </w:pPr>
    </w:p>
    <w:p w:rsidR="00214D50" w:rsidRPr="00214D50" w:rsidRDefault="00214D50" w:rsidP="00214D50">
      <w:pPr>
        <w:jc w:val="center"/>
        <w:rPr>
          <w:rFonts w:cs="Arial"/>
          <w:sz w:val="40"/>
          <w:szCs w:val="44"/>
        </w:rPr>
      </w:pPr>
    </w:p>
    <w:p w:rsidR="00214D50" w:rsidRPr="00214D50" w:rsidRDefault="00214D50" w:rsidP="00214D50">
      <w:pPr>
        <w:jc w:val="center"/>
        <w:rPr>
          <w:rFonts w:cs="Arial"/>
          <w:sz w:val="28"/>
          <w:szCs w:val="28"/>
        </w:rPr>
      </w:pPr>
      <w:r w:rsidRPr="00214D50">
        <w:rPr>
          <w:rFonts w:cs="Arial"/>
          <w:sz w:val="28"/>
          <w:szCs w:val="28"/>
        </w:rPr>
        <w:t>Paul Kiggell</w:t>
      </w:r>
    </w:p>
    <w:p w:rsidR="00214D50" w:rsidRPr="00214D50" w:rsidRDefault="00214D50" w:rsidP="00214D50">
      <w:pPr>
        <w:jc w:val="center"/>
        <w:rPr>
          <w:rFonts w:cs="Arial"/>
          <w:sz w:val="28"/>
          <w:szCs w:val="28"/>
        </w:rPr>
      </w:pPr>
      <w:r w:rsidRPr="00214D50">
        <w:rPr>
          <w:rFonts w:cs="Arial"/>
          <w:sz w:val="28"/>
          <w:szCs w:val="28"/>
        </w:rPr>
        <w:t xml:space="preserve">Head of Service – Victim First </w:t>
      </w:r>
    </w:p>
    <w:p w:rsidR="00214D50" w:rsidRPr="00214D50" w:rsidRDefault="00214D50" w:rsidP="00214D50">
      <w:pPr>
        <w:jc w:val="center"/>
        <w:rPr>
          <w:rFonts w:cs="Arial"/>
          <w:sz w:val="32"/>
          <w:szCs w:val="44"/>
        </w:rPr>
      </w:pPr>
      <w:r w:rsidRPr="00214D50">
        <w:rPr>
          <w:rFonts w:cs="Arial"/>
          <w:sz w:val="32"/>
          <w:szCs w:val="44"/>
        </w:rPr>
        <w:t>November 2017</w:t>
      </w:r>
    </w:p>
    <w:p w:rsidR="00214D50" w:rsidRPr="00214D50" w:rsidRDefault="00214D50" w:rsidP="00214D50">
      <w:pPr>
        <w:rPr>
          <w:lang w:eastAsia="en-GB"/>
        </w:rPr>
      </w:pPr>
    </w:p>
    <w:sdt>
      <w:sdtPr>
        <w:rPr>
          <w:rFonts w:asciiTheme="minorHAnsi" w:eastAsiaTheme="minorHAnsi" w:hAnsiTheme="minorHAnsi" w:cstheme="minorBidi"/>
          <w:color w:val="auto"/>
          <w:sz w:val="22"/>
          <w:szCs w:val="22"/>
          <w:lang w:val="en-GB"/>
        </w:rPr>
        <w:id w:val="-1476975917"/>
        <w:docPartObj>
          <w:docPartGallery w:val="Table of Contents"/>
          <w:docPartUnique/>
        </w:docPartObj>
      </w:sdtPr>
      <w:sdtEndPr>
        <w:rPr>
          <w:b/>
          <w:bCs/>
          <w:noProof/>
        </w:rPr>
      </w:sdtEndPr>
      <w:sdtContent>
        <w:p w:rsidR="009669F6" w:rsidRDefault="009669F6">
          <w:pPr>
            <w:pStyle w:val="TOCHeading"/>
            <w:rPr>
              <w:b/>
              <w:u w:val="single"/>
            </w:rPr>
          </w:pPr>
          <w:r w:rsidRPr="009669F6">
            <w:rPr>
              <w:b/>
              <w:u w:val="single"/>
            </w:rPr>
            <w:t>Contents</w:t>
          </w:r>
        </w:p>
        <w:p w:rsidR="00CD400B" w:rsidRDefault="009669F6">
          <w:pPr>
            <w:pStyle w:val="TOC1"/>
            <w:tabs>
              <w:tab w:val="right" w:leader="dot" w:pos="9913"/>
            </w:tabs>
            <w:rPr>
              <w:rFonts w:eastAsiaTheme="minorEastAsia"/>
              <w:noProof/>
              <w:lang w:eastAsia="en-GB"/>
            </w:rPr>
          </w:pPr>
          <w:r>
            <w:fldChar w:fldCharType="begin"/>
          </w:r>
          <w:r>
            <w:instrText xml:space="preserve"> TOC \o "1-3" \h \z \u </w:instrText>
          </w:r>
          <w:r>
            <w:fldChar w:fldCharType="separate"/>
          </w:r>
          <w:hyperlink w:anchor="_Toc500170250" w:history="1">
            <w:r w:rsidR="00CD400B" w:rsidRPr="00C626E4">
              <w:rPr>
                <w:rStyle w:val="Hyperlink"/>
                <w:noProof/>
                <w:lang w:eastAsia="en-GB"/>
              </w:rPr>
              <w:t>1. Introduction</w:t>
            </w:r>
            <w:r w:rsidR="003E4967">
              <w:rPr>
                <w:rStyle w:val="Hyperlink"/>
                <w:noProof/>
                <w:lang w:eastAsia="en-GB"/>
              </w:rPr>
              <w:t xml:space="preserve"> and Summary</w:t>
            </w:r>
            <w:r w:rsidR="00CD400B">
              <w:rPr>
                <w:noProof/>
                <w:webHidden/>
              </w:rPr>
              <w:tab/>
            </w:r>
            <w:r w:rsidR="00CD400B">
              <w:rPr>
                <w:noProof/>
                <w:webHidden/>
              </w:rPr>
              <w:fldChar w:fldCharType="begin"/>
            </w:r>
            <w:r w:rsidR="00CD400B">
              <w:rPr>
                <w:noProof/>
                <w:webHidden/>
              </w:rPr>
              <w:instrText xml:space="preserve"> PAGEREF _Toc500170250 \h </w:instrText>
            </w:r>
            <w:r w:rsidR="00CD400B">
              <w:rPr>
                <w:noProof/>
                <w:webHidden/>
              </w:rPr>
            </w:r>
            <w:r w:rsidR="00CD400B">
              <w:rPr>
                <w:noProof/>
                <w:webHidden/>
              </w:rPr>
              <w:fldChar w:fldCharType="separate"/>
            </w:r>
            <w:r w:rsidR="00AE1D74">
              <w:rPr>
                <w:noProof/>
                <w:webHidden/>
              </w:rPr>
              <w:t>3</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1" w:history="1">
            <w:r w:rsidR="00CD400B" w:rsidRPr="00C626E4">
              <w:rPr>
                <w:rStyle w:val="Hyperlink"/>
                <w:noProof/>
                <w:lang w:eastAsia="en-GB"/>
              </w:rPr>
              <w:t>2. Performance Headlines</w:t>
            </w:r>
            <w:r w:rsidR="00CD400B">
              <w:rPr>
                <w:noProof/>
                <w:webHidden/>
              </w:rPr>
              <w:tab/>
            </w:r>
            <w:r w:rsidR="00CD400B">
              <w:rPr>
                <w:noProof/>
                <w:webHidden/>
              </w:rPr>
              <w:fldChar w:fldCharType="begin"/>
            </w:r>
            <w:r w:rsidR="00CD400B">
              <w:rPr>
                <w:noProof/>
                <w:webHidden/>
              </w:rPr>
              <w:instrText xml:space="preserve"> PAGEREF _Toc500170251 \h </w:instrText>
            </w:r>
            <w:r w:rsidR="00CD400B">
              <w:rPr>
                <w:noProof/>
                <w:webHidden/>
              </w:rPr>
            </w:r>
            <w:r w:rsidR="00CD400B">
              <w:rPr>
                <w:noProof/>
                <w:webHidden/>
              </w:rPr>
              <w:fldChar w:fldCharType="separate"/>
            </w:r>
            <w:r w:rsidR="00AE1D74">
              <w:rPr>
                <w:noProof/>
                <w:webHidden/>
              </w:rPr>
              <w:t>4</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2" w:history="1">
            <w:r w:rsidR="00CD400B" w:rsidRPr="00C626E4">
              <w:rPr>
                <w:rStyle w:val="Hyperlink"/>
                <w:noProof/>
              </w:rPr>
              <w:t>3. Referral Source</w:t>
            </w:r>
            <w:r w:rsidR="00CD400B">
              <w:rPr>
                <w:noProof/>
                <w:webHidden/>
              </w:rPr>
              <w:tab/>
            </w:r>
            <w:r w:rsidR="00CD400B">
              <w:rPr>
                <w:noProof/>
                <w:webHidden/>
              </w:rPr>
              <w:fldChar w:fldCharType="begin"/>
            </w:r>
            <w:r w:rsidR="00CD400B">
              <w:rPr>
                <w:noProof/>
                <w:webHidden/>
              </w:rPr>
              <w:instrText xml:space="preserve"> PAGEREF _Toc500170252 \h </w:instrText>
            </w:r>
            <w:r w:rsidR="00CD400B">
              <w:rPr>
                <w:noProof/>
                <w:webHidden/>
              </w:rPr>
            </w:r>
            <w:r w:rsidR="00CD400B">
              <w:rPr>
                <w:noProof/>
                <w:webHidden/>
              </w:rPr>
              <w:fldChar w:fldCharType="separate"/>
            </w:r>
            <w:r w:rsidR="00AE1D74">
              <w:rPr>
                <w:noProof/>
                <w:webHidden/>
              </w:rPr>
              <w:t>5</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3" w:history="1">
            <w:r w:rsidR="00CD400B" w:rsidRPr="00C626E4">
              <w:rPr>
                <w:rStyle w:val="Hyperlink"/>
                <w:noProof/>
              </w:rPr>
              <w:t>4. Crime Types</w:t>
            </w:r>
            <w:r w:rsidR="00CD400B">
              <w:rPr>
                <w:noProof/>
                <w:webHidden/>
              </w:rPr>
              <w:tab/>
            </w:r>
            <w:r w:rsidR="00CD400B">
              <w:rPr>
                <w:noProof/>
                <w:webHidden/>
              </w:rPr>
              <w:fldChar w:fldCharType="begin"/>
            </w:r>
            <w:r w:rsidR="00CD400B">
              <w:rPr>
                <w:noProof/>
                <w:webHidden/>
              </w:rPr>
              <w:instrText xml:space="preserve"> PAGEREF _Toc500170253 \h </w:instrText>
            </w:r>
            <w:r w:rsidR="00CD400B">
              <w:rPr>
                <w:noProof/>
                <w:webHidden/>
              </w:rPr>
            </w:r>
            <w:r w:rsidR="00CD400B">
              <w:rPr>
                <w:noProof/>
                <w:webHidden/>
              </w:rPr>
              <w:fldChar w:fldCharType="separate"/>
            </w:r>
            <w:r w:rsidR="00AE1D74">
              <w:rPr>
                <w:noProof/>
                <w:webHidden/>
              </w:rPr>
              <w:t>7</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4" w:history="1">
            <w:r w:rsidR="00CD400B" w:rsidRPr="00C626E4">
              <w:rPr>
                <w:rStyle w:val="Hyperlink"/>
                <w:noProof/>
              </w:rPr>
              <w:t>5. How many victims reported to the police prior to, and following the support they received from Victim First?</w:t>
            </w:r>
            <w:r w:rsidR="00CD400B">
              <w:rPr>
                <w:noProof/>
                <w:webHidden/>
              </w:rPr>
              <w:tab/>
            </w:r>
            <w:r w:rsidR="00CD400B">
              <w:rPr>
                <w:noProof/>
                <w:webHidden/>
              </w:rPr>
              <w:fldChar w:fldCharType="begin"/>
            </w:r>
            <w:r w:rsidR="00CD400B">
              <w:rPr>
                <w:noProof/>
                <w:webHidden/>
              </w:rPr>
              <w:instrText xml:space="preserve"> PAGEREF _Toc500170254 \h </w:instrText>
            </w:r>
            <w:r w:rsidR="00CD400B">
              <w:rPr>
                <w:noProof/>
                <w:webHidden/>
              </w:rPr>
            </w:r>
            <w:r w:rsidR="00CD400B">
              <w:rPr>
                <w:noProof/>
                <w:webHidden/>
              </w:rPr>
              <w:fldChar w:fldCharType="separate"/>
            </w:r>
            <w:r w:rsidR="00AE1D74">
              <w:rPr>
                <w:noProof/>
                <w:webHidden/>
              </w:rPr>
              <w:t>9</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5" w:history="1">
            <w:r w:rsidR="00CD400B" w:rsidRPr="00C626E4">
              <w:rPr>
                <w:rStyle w:val="Hyperlink"/>
                <w:noProof/>
              </w:rPr>
              <w:t>6. Repeat Victims</w:t>
            </w:r>
            <w:r w:rsidR="00CD400B">
              <w:rPr>
                <w:noProof/>
                <w:webHidden/>
              </w:rPr>
              <w:tab/>
            </w:r>
            <w:r w:rsidR="00CD400B">
              <w:rPr>
                <w:noProof/>
                <w:webHidden/>
              </w:rPr>
              <w:fldChar w:fldCharType="begin"/>
            </w:r>
            <w:r w:rsidR="00CD400B">
              <w:rPr>
                <w:noProof/>
                <w:webHidden/>
              </w:rPr>
              <w:instrText xml:space="preserve"> PAGEREF _Toc500170255 \h </w:instrText>
            </w:r>
            <w:r w:rsidR="00CD400B">
              <w:rPr>
                <w:noProof/>
                <w:webHidden/>
              </w:rPr>
            </w:r>
            <w:r w:rsidR="00CD400B">
              <w:rPr>
                <w:noProof/>
                <w:webHidden/>
              </w:rPr>
              <w:fldChar w:fldCharType="separate"/>
            </w:r>
            <w:r w:rsidR="00AE1D74">
              <w:rPr>
                <w:noProof/>
                <w:webHidden/>
              </w:rPr>
              <w:t>10</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6" w:history="1">
            <w:r w:rsidR="00CD400B" w:rsidRPr="00C626E4">
              <w:rPr>
                <w:rStyle w:val="Hyperlink"/>
                <w:noProof/>
              </w:rPr>
              <w:t>7. How many victims have had prior support from Victim First?</w:t>
            </w:r>
            <w:r w:rsidR="00CD400B">
              <w:rPr>
                <w:noProof/>
                <w:webHidden/>
              </w:rPr>
              <w:tab/>
            </w:r>
            <w:r w:rsidR="00CD400B">
              <w:rPr>
                <w:noProof/>
                <w:webHidden/>
              </w:rPr>
              <w:fldChar w:fldCharType="begin"/>
            </w:r>
            <w:r w:rsidR="00CD400B">
              <w:rPr>
                <w:noProof/>
                <w:webHidden/>
              </w:rPr>
              <w:instrText xml:space="preserve"> PAGEREF _Toc500170256 \h </w:instrText>
            </w:r>
            <w:r w:rsidR="00CD400B">
              <w:rPr>
                <w:noProof/>
                <w:webHidden/>
              </w:rPr>
            </w:r>
            <w:r w:rsidR="00CD400B">
              <w:rPr>
                <w:noProof/>
                <w:webHidden/>
              </w:rPr>
              <w:fldChar w:fldCharType="separate"/>
            </w:r>
            <w:r w:rsidR="00AE1D74">
              <w:rPr>
                <w:noProof/>
                <w:webHidden/>
              </w:rPr>
              <w:t>10</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57" w:history="1">
            <w:r w:rsidR="00CD400B" w:rsidRPr="00C626E4">
              <w:rPr>
                <w:rStyle w:val="Hyperlink"/>
                <w:noProof/>
              </w:rPr>
              <w:t>8. Demographics</w:t>
            </w:r>
            <w:r w:rsidR="00CD400B">
              <w:rPr>
                <w:noProof/>
                <w:webHidden/>
              </w:rPr>
              <w:tab/>
            </w:r>
            <w:r w:rsidR="00CD400B">
              <w:rPr>
                <w:noProof/>
                <w:webHidden/>
              </w:rPr>
              <w:fldChar w:fldCharType="begin"/>
            </w:r>
            <w:r w:rsidR="00CD400B">
              <w:rPr>
                <w:noProof/>
                <w:webHidden/>
              </w:rPr>
              <w:instrText xml:space="preserve"> PAGEREF _Toc500170257 \h </w:instrText>
            </w:r>
            <w:r w:rsidR="00CD400B">
              <w:rPr>
                <w:noProof/>
                <w:webHidden/>
              </w:rPr>
            </w:r>
            <w:r w:rsidR="00CD400B">
              <w:rPr>
                <w:noProof/>
                <w:webHidden/>
              </w:rPr>
              <w:fldChar w:fldCharType="separate"/>
            </w:r>
            <w:r w:rsidR="00AE1D74">
              <w:rPr>
                <w:noProof/>
                <w:webHidden/>
              </w:rPr>
              <w:t>11</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58" w:history="1">
            <w:r w:rsidR="00CD400B" w:rsidRPr="00C626E4">
              <w:rPr>
                <w:rStyle w:val="Hyperlink"/>
                <w:noProof/>
                <w:lang w:eastAsia="en-GB"/>
              </w:rPr>
              <w:t>Gender</w:t>
            </w:r>
            <w:r w:rsidR="00CD400B">
              <w:rPr>
                <w:noProof/>
                <w:webHidden/>
              </w:rPr>
              <w:tab/>
            </w:r>
            <w:r w:rsidR="00CD400B">
              <w:rPr>
                <w:noProof/>
                <w:webHidden/>
              </w:rPr>
              <w:fldChar w:fldCharType="begin"/>
            </w:r>
            <w:r w:rsidR="00CD400B">
              <w:rPr>
                <w:noProof/>
                <w:webHidden/>
              </w:rPr>
              <w:instrText xml:space="preserve"> PAGEREF _Toc500170258 \h </w:instrText>
            </w:r>
            <w:r w:rsidR="00CD400B">
              <w:rPr>
                <w:noProof/>
                <w:webHidden/>
              </w:rPr>
            </w:r>
            <w:r w:rsidR="00CD400B">
              <w:rPr>
                <w:noProof/>
                <w:webHidden/>
              </w:rPr>
              <w:fldChar w:fldCharType="separate"/>
            </w:r>
            <w:r w:rsidR="00AE1D74">
              <w:rPr>
                <w:noProof/>
                <w:webHidden/>
              </w:rPr>
              <w:t>11</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59" w:history="1">
            <w:r w:rsidR="00CD400B" w:rsidRPr="00C626E4">
              <w:rPr>
                <w:rStyle w:val="Hyperlink"/>
                <w:noProof/>
                <w:lang w:eastAsia="en-GB"/>
              </w:rPr>
              <w:t>Age</w:t>
            </w:r>
            <w:r w:rsidR="00CD400B">
              <w:rPr>
                <w:noProof/>
                <w:webHidden/>
              </w:rPr>
              <w:tab/>
            </w:r>
            <w:r w:rsidR="00CD400B">
              <w:rPr>
                <w:noProof/>
                <w:webHidden/>
              </w:rPr>
              <w:fldChar w:fldCharType="begin"/>
            </w:r>
            <w:r w:rsidR="00CD400B">
              <w:rPr>
                <w:noProof/>
                <w:webHidden/>
              </w:rPr>
              <w:instrText xml:space="preserve"> PAGEREF _Toc500170259 \h </w:instrText>
            </w:r>
            <w:r w:rsidR="00CD400B">
              <w:rPr>
                <w:noProof/>
                <w:webHidden/>
              </w:rPr>
            </w:r>
            <w:r w:rsidR="00CD400B">
              <w:rPr>
                <w:noProof/>
                <w:webHidden/>
              </w:rPr>
              <w:fldChar w:fldCharType="separate"/>
            </w:r>
            <w:r w:rsidR="00AE1D74">
              <w:rPr>
                <w:noProof/>
                <w:webHidden/>
              </w:rPr>
              <w:t>11</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0" w:history="1">
            <w:r w:rsidR="00CD400B" w:rsidRPr="00C626E4">
              <w:rPr>
                <w:rStyle w:val="Hyperlink"/>
                <w:noProof/>
              </w:rPr>
              <w:t>Ethnicity</w:t>
            </w:r>
            <w:r w:rsidR="00CD400B">
              <w:rPr>
                <w:noProof/>
                <w:webHidden/>
              </w:rPr>
              <w:tab/>
            </w:r>
            <w:r w:rsidR="00CD400B">
              <w:rPr>
                <w:noProof/>
                <w:webHidden/>
              </w:rPr>
              <w:fldChar w:fldCharType="begin"/>
            </w:r>
            <w:r w:rsidR="00CD400B">
              <w:rPr>
                <w:noProof/>
                <w:webHidden/>
              </w:rPr>
              <w:instrText xml:space="preserve"> PAGEREF _Toc500170260 \h </w:instrText>
            </w:r>
            <w:r w:rsidR="00CD400B">
              <w:rPr>
                <w:noProof/>
                <w:webHidden/>
              </w:rPr>
            </w:r>
            <w:r w:rsidR="00CD400B">
              <w:rPr>
                <w:noProof/>
                <w:webHidden/>
              </w:rPr>
              <w:fldChar w:fldCharType="separate"/>
            </w:r>
            <w:r w:rsidR="00AE1D74">
              <w:rPr>
                <w:noProof/>
                <w:webHidden/>
              </w:rPr>
              <w:t>12</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1" w:history="1">
            <w:r w:rsidR="00CD400B" w:rsidRPr="00C626E4">
              <w:rPr>
                <w:rStyle w:val="Hyperlink"/>
                <w:noProof/>
              </w:rPr>
              <w:t>Disabilities</w:t>
            </w:r>
            <w:r w:rsidR="00CD400B">
              <w:rPr>
                <w:noProof/>
                <w:webHidden/>
              </w:rPr>
              <w:tab/>
            </w:r>
            <w:r w:rsidR="00CD400B">
              <w:rPr>
                <w:noProof/>
                <w:webHidden/>
              </w:rPr>
              <w:fldChar w:fldCharType="begin"/>
            </w:r>
            <w:r w:rsidR="00CD400B">
              <w:rPr>
                <w:noProof/>
                <w:webHidden/>
              </w:rPr>
              <w:instrText xml:space="preserve"> PAGEREF _Toc500170261 \h </w:instrText>
            </w:r>
            <w:r w:rsidR="00CD400B">
              <w:rPr>
                <w:noProof/>
                <w:webHidden/>
              </w:rPr>
            </w:r>
            <w:r w:rsidR="00CD400B">
              <w:rPr>
                <w:noProof/>
                <w:webHidden/>
              </w:rPr>
              <w:fldChar w:fldCharType="separate"/>
            </w:r>
            <w:r w:rsidR="00AE1D74">
              <w:rPr>
                <w:noProof/>
                <w:webHidden/>
              </w:rPr>
              <w:t>12</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2" w:history="1">
            <w:r w:rsidR="00CD400B" w:rsidRPr="00C626E4">
              <w:rPr>
                <w:rStyle w:val="Hyperlink"/>
                <w:noProof/>
              </w:rPr>
              <w:t>Religion</w:t>
            </w:r>
            <w:r w:rsidR="00CD400B">
              <w:rPr>
                <w:noProof/>
                <w:webHidden/>
              </w:rPr>
              <w:tab/>
            </w:r>
            <w:r w:rsidR="00CD400B">
              <w:rPr>
                <w:noProof/>
                <w:webHidden/>
              </w:rPr>
              <w:fldChar w:fldCharType="begin"/>
            </w:r>
            <w:r w:rsidR="00CD400B">
              <w:rPr>
                <w:noProof/>
                <w:webHidden/>
              </w:rPr>
              <w:instrText xml:space="preserve"> PAGEREF _Toc500170262 \h </w:instrText>
            </w:r>
            <w:r w:rsidR="00CD400B">
              <w:rPr>
                <w:noProof/>
                <w:webHidden/>
              </w:rPr>
            </w:r>
            <w:r w:rsidR="00CD400B">
              <w:rPr>
                <w:noProof/>
                <w:webHidden/>
              </w:rPr>
              <w:fldChar w:fldCharType="separate"/>
            </w:r>
            <w:r w:rsidR="00AE1D74">
              <w:rPr>
                <w:noProof/>
                <w:webHidden/>
              </w:rPr>
              <w:t>13</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3" w:history="1">
            <w:r w:rsidR="00CD400B" w:rsidRPr="00C626E4">
              <w:rPr>
                <w:rStyle w:val="Hyperlink"/>
                <w:noProof/>
              </w:rPr>
              <w:t>Sexual Orientation</w:t>
            </w:r>
            <w:r w:rsidR="00CD400B">
              <w:rPr>
                <w:noProof/>
                <w:webHidden/>
              </w:rPr>
              <w:tab/>
            </w:r>
            <w:r w:rsidR="00CD400B">
              <w:rPr>
                <w:noProof/>
                <w:webHidden/>
              </w:rPr>
              <w:fldChar w:fldCharType="begin"/>
            </w:r>
            <w:r w:rsidR="00CD400B">
              <w:rPr>
                <w:noProof/>
                <w:webHidden/>
              </w:rPr>
              <w:instrText xml:space="preserve"> PAGEREF _Toc500170263 \h </w:instrText>
            </w:r>
            <w:r w:rsidR="00CD400B">
              <w:rPr>
                <w:noProof/>
                <w:webHidden/>
              </w:rPr>
            </w:r>
            <w:r w:rsidR="00CD400B">
              <w:rPr>
                <w:noProof/>
                <w:webHidden/>
              </w:rPr>
              <w:fldChar w:fldCharType="separate"/>
            </w:r>
            <w:r w:rsidR="00AE1D74">
              <w:rPr>
                <w:noProof/>
                <w:webHidden/>
              </w:rPr>
              <w:t>13</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4" w:history="1">
            <w:r w:rsidR="00CD400B" w:rsidRPr="00C626E4">
              <w:rPr>
                <w:rStyle w:val="Hyperlink"/>
                <w:noProof/>
              </w:rPr>
              <w:t>Communication Needs</w:t>
            </w:r>
            <w:r w:rsidR="00CD400B">
              <w:rPr>
                <w:noProof/>
                <w:webHidden/>
              </w:rPr>
              <w:tab/>
            </w:r>
            <w:r w:rsidR="00CD400B">
              <w:rPr>
                <w:noProof/>
                <w:webHidden/>
              </w:rPr>
              <w:fldChar w:fldCharType="begin"/>
            </w:r>
            <w:r w:rsidR="00CD400B">
              <w:rPr>
                <w:noProof/>
                <w:webHidden/>
              </w:rPr>
              <w:instrText xml:space="preserve"> PAGEREF _Toc500170264 \h </w:instrText>
            </w:r>
            <w:r w:rsidR="00CD400B">
              <w:rPr>
                <w:noProof/>
                <w:webHidden/>
              </w:rPr>
            </w:r>
            <w:r w:rsidR="00CD400B">
              <w:rPr>
                <w:noProof/>
                <w:webHidden/>
              </w:rPr>
              <w:fldChar w:fldCharType="separate"/>
            </w:r>
            <w:r w:rsidR="00AE1D74">
              <w:rPr>
                <w:noProof/>
                <w:webHidden/>
              </w:rPr>
              <w:t>14</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65" w:history="1">
            <w:r w:rsidR="00CD400B" w:rsidRPr="00C626E4">
              <w:rPr>
                <w:rStyle w:val="Hyperlink"/>
                <w:noProof/>
              </w:rPr>
              <w:t>9. Geographic Areas</w:t>
            </w:r>
            <w:r w:rsidR="00CD400B">
              <w:rPr>
                <w:noProof/>
                <w:webHidden/>
              </w:rPr>
              <w:tab/>
            </w:r>
            <w:r w:rsidR="00CD400B">
              <w:rPr>
                <w:noProof/>
                <w:webHidden/>
              </w:rPr>
              <w:fldChar w:fldCharType="begin"/>
            </w:r>
            <w:r w:rsidR="00CD400B">
              <w:rPr>
                <w:noProof/>
                <w:webHidden/>
              </w:rPr>
              <w:instrText xml:space="preserve"> PAGEREF _Toc500170265 \h </w:instrText>
            </w:r>
            <w:r w:rsidR="00CD400B">
              <w:rPr>
                <w:noProof/>
                <w:webHidden/>
              </w:rPr>
            </w:r>
            <w:r w:rsidR="00CD400B">
              <w:rPr>
                <w:noProof/>
                <w:webHidden/>
              </w:rPr>
              <w:fldChar w:fldCharType="separate"/>
            </w:r>
            <w:r w:rsidR="00AE1D74">
              <w:rPr>
                <w:noProof/>
                <w:webHidden/>
              </w:rPr>
              <w:t>15</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66" w:history="1">
            <w:r w:rsidR="00CD400B" w:rsidRPr="00C626E4">
              <w:rPr>
                <w:rStyle w:val="Hyperlink"/>
                <w:noProof/>
              </w:rPr>
              <w:t>10. Identified Needs</w:t>
            </w:r>
            <w:r w:rsidR="00CD400B">
              <w:rPr>
                <w:noProof/>
                <w:webHidden/>
              </w:rPr>
              <w:tab/>
            </w:r>
            <w:r w:rsidR="00CD400B">
              <w:rPr>
                <w:noProof/>
                <w:webHidden/>
              </w:rPr>
              <w:fldChar w:fldCharType="begin"/>
            </w:r>
            <w:r w:rsidR="00CD400B">
              <w:rPr>
                <w:noProof/>
                <w:webHidden/>
              </w:rPr>
              <w:instrText xml:space="preserve"> PAGEREF _Toc500170266 \h </w:instrText>
            </w:r>
            <w:r w:rsidR="00CD400B">
              <w:rPr>
                <w:noProof/>
                <w:webHidden/>
              </w:rPr>
            </w:r>
            <w:r w:rsidR="00CD400B">
              <w:rPr>
                <w:noProof/>
                <w:webHidden/>
              </w:rPr>
              <w:fldChar w:fldCharType="separate"/>
            </w:r>
            <w:r w:rsidR="00AE1D74">
              <w:rPr>
                <w:noProof/>
                <w:webHidden/>
              </w:rPr>
              <w:t>17</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7" w:history="1">
            <w:r w:rsidR="00CD400B" w:rsidRPr="00C626E4">
              <w:rPr>
                <w:rStyle w:val="Hyperlink"/>
                <w:noProof/>
              </w:rPr>
              <w:t>Personal Safety</w:t>
            </w:r>
            <w:r w:rsidR="00CD400B">
              <w:rPr>
                <w:noProof/>
                <w:webHidden/>
              </w:rPr>
              <w:tab/>
            </w:r>
            <w:r w:rsidR="00CD400B">
              <w:rPr>
                <w:noProof/>
                <w:webHidden/>
              </w:rPr>
              <w:fldChar w:fldCharType="begin"/>
            </w:r>
            <w:r w:rsidR="00CD400B">
              <w:rPr>
                <w:noProof/>
                <w:webHidden/>
              </w:rPr>
              <w:instrText xml:space="preserve"> PAGEREF _Toc500170267 \h </w:instrText>
            </w:r>
            <w:r w:rsidR="00CD400B">
              <w:rPr>
                <w:noProof/>
                <w:webHidden/>
              </w:rPr>
            </w:r>
            <w:r w:rsidR="00CD400B">
              <w:rPr>
                <w:noProof/>
                <w:webHidden/>
              </w:rPr>
              <w:fldChar w:fldCharType="separate"/>
            </w:r>
            <w:r w:rsidR="00AE1D74">
              <w:rPr>
                <w:noProof/>
                <w:webHidden/>
              </w:rPr>
              <w:t>17</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8" w:history="1">
            <w:r w:rsidR="00CD400B" w:rsidRPr="00C626E4">
              <w:rPr>
                <w:rStyle w:val="Hyperlink"/>
                <w:noProof/>
              </w:rPr>
              <w:t>Mental and Physical Health</w:t>
            </w:r>
            <w:r w:rsidR="00CD400B">
              <w:rPr>
                <w:noProof/>
                <w:webHidden/>
              </w:rPr>
              <w:tab/>
            </w:r>
            <w:r w:rsidR="00CD400B">
              <w:rPr>
                <w:noProof/>
                <w:webHidden/>
              </w:rPr>
              <w:fldChar w:fldCharType="begin"/>
            </w:r>
            <w:r w:rsidR="00CD400B">
              <w:rPr>
                <w:noProof/>
                <w:webHidden/>
              </w:rPr>
              <w:instrText xml:space="preserve"> PAGEREF _Toc500170268 \h </w:instrText>
            </w:r>
            <w:r w:rsidR="00CD400B">
              <w:rPr>
                <w:noProof/>
                <w:webHidden/>
              </w:rPr>
            </w:r>
            <w:r w:rsidR="00CD400B">
              <w:rPr>
                <w:noProof/>
                <w:webHidden/>
              </w:rPr>
              <w:fldChar w:fldCharType="separate"/>
            </w:r>
            <w:r w:rsidR="00AE1D74">
              <w:rPr>
                <w:noProof/>
                <w:webHidden/>
              </w:rPr>
              <w:t>17</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69" w:history="1">
            <w:r w:rsidR="00CD400B" w:rsidRPr="00C626E4">
              <w:rPr>
                <w:rStyle w:val="Hyperlink"/>
                <w:noProof/>
              </w:rPr>
              <w:t>Shelter and Accommodation</w:t>
            </w:r>
            <w:r w:rsidR="00CD400B">
              <w:rPr>
                <w:noProof/>
                <w:webHidden/>
              </w:rPr>
              <w:tab/>
            </w:r>
            <w:r w:rsidR="00CD400B">
              <w:rPr>
                <w:noProof/>
                <w:webHidden/>
              </w:rPr>
              <w:fldChar w:fldCharType="begin"/>
            </w:r>
            <w:r w:rsidR="00CD400B">
              <w:rPr>
                <w:noProof/>
                <w:webHidden/>
              </w:rPr>
              <w:instrText xml:space="preserve"> PAGEREF _Toc500170269 \h </w:instrText>
            </w:r>
            <w:r w:rsidR="00CD400B">
              <w:rPr>
                <w:noProof/>
                <w:webHidden/>
              </w:rPr>
            </w:r>
            <w:r w:rsidR="00CD400B">
              <w:rPr>
                <w:noProof/>
                <w:webHidden/>
              </w:rPr>
              <w:fldChar w:fldCharType="separate"/>
            </w:r>
            <w:r w:rsidR="00AE1D74">
              <w:rPr>
                <w:noProof/>
                <w:webHidden/>
              </w:rPr>
              <w:t>18</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0" w:history="1">
            <w:r w:rsidR="00CD400B" w:rsidRPr="00C626E4">
              <w:rPr>
                <w:rStyle w:val="Hyperlink"/>
                <w:noProof/>
              </w:rPr>
              <w:t>Drugs, Alcohol and Other Harmful Behaviours</w:t>
            </w:r>
            <w:r w:rsidR="00CD400B">
              <w:rPr>
                <w:noProof/>
                <w:webHidden/>
              </w:rPr>
              <w:tab/>
            </w:r>
            <w:r w:rsidR="00CD400B">
              <w:rPr>
                <w:noProof/>
                <w:webHidden/>
              </w:rPr>
              <w:fldChar w:fldCharType="begin"/>
            </w:r>
            <w:r w:rsidR="00CD400B">
              <w:rPr>
                <w:noProof/>
                <w:webHidden/>
              </w:rPr>
              <w:instrText xml:space="preserve"> PAGEREF _Toc500170270 \h </w:instrText>
            </w:r>
            <w:r w:rsidR="00CD400B">
              <w:rPr>
                <w:noProof/>
                <w:webHidden/>
              </w:rPr>
            </w:r>
            <w:r w:rsidR="00CD400B">
              <w:rPr>
                <w:noProof/>
                <w:webHidden/>
              </w:rPr>
              <w:fldChar w:fldCharType="separate"/>
            </w:r>
            <w:r w:rsidR="00AE1D74">
              <w:rPr>
                <w:noProof/>
                <w:webHidden/>
              </w:rPr>
              <w:t>18</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1" w:history="1">
            <w:r w:rsidR="00CD400B" w:rsidRPr="00C626E4">
              <w:rPr>
                <w:rStyle w:val="Hyperlink"/>
                <w:noProof/>
              </w:rPr>
              <w:t>Family</w:t>
            </w:r>
            <w:r w:rsidR="00CD400B">
              <w:rPr>
                <w:noProof/>
                <w:webHidden/>
              </w:rPr>
              <w:tab/>
            </w:r>
            <w:r w:rsidR="00CD400B">
              <w:rPr>
                <w:noProof/>
                <w:webHidden/>
              </w:rPr>
              <w:fldChar w:fldCharType="begin"/>
            </w:r>
            <w:r w:rsidR="00CD400B">
              <w:rPr>
                <w:noProof/>
                <w:webHidden/>
              </w:rPr>
              <w:instrText xml:space="preserve"> PAGEREF _Toc500170271 \h </w:instrText>
            </w:r>
            <w:r w:rsidR="00CD400B">
              <w:rPr>
                <w:noProof/>
                <w:webHidden/>
              </w:rPr>
            </w:r>
            <w:r w:rsidR="00CD400B">
              <w:rPr>
                <w:noProof/>
                <w:webHidden/>
              </w:rPr>
              <w:fldChar w:fldCharType="separate"/>
            </w:r>
            <w:r w:rsidR="00AE1D74">
              <w:rPr>
                <w:noProof/>
                <w:webHidden/>
              </w:rPr>
              <w:t>19</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2" w:history="1">
            <w:r w:rsidR="00CD400B" w:rsidRPr="00C626E4">
              <w:rPr>
                <w:rStyle w:val="Hyperlink"/>
                <w:noProof/>
              </w:rPr>
              <w:t>Education and Employment</w:t>
            </w:r>
            <w:r w:rsidR="00CD400B">
              <w:rPr>
                <w:noProof/>
                <w:webHidden/>
              </w:rPr>
              <w:tab/>
            </w:r>
            <w:r w:rsidR="00CD400B">
              <w:rPr>
                <w:noProof/>
                <w:webHidden/>
              </w:rPr>
              <w:fldChar w:fldCharType="begin"/>
            </w:r>
            <w:r w:rsidR="00CD400B">
              <w:rPr>
                <w:noProof/>
                <w:webHidden/>
              </w:rPr>
              <w:instrText xml:space="preserve"> PAGEREF _Toc500170272 \h </w:instrText>
            </w:r>
            <w:r w:rsidR="00CD400B">
              <w:rPr>
                <w:noProof/>
                <w:webHidden/>
              </w:rPr>
            </w:r>
            <w:r w:rsidR="00CD400B">
              <w:rPr>
                <w:noProof/>
                <w:webHidden/>
              </w:rPr>
              <w:fldChar w:fldCharType="separate"/>
            </w:r>
            <w:r w:rsidR="00AE1D74">
              <w:rPr>
                <w:noProof/>
                <w:webHidden/>
              </w:rPr>
              <w:t>19</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3" w:history="1">
            <w:r w:rsidR="00CD400B" w:rsidRPr="00C626E4">
              <w:rPr>
                <w:rStyle w:val="Hyperlink"/>
                <w:noProof/>
              </w:rPr>
              <w:t>Finance and Benefits</w:t>
            </w:r>
            <w:r w:rsidR="00CD400B">
              <w:rPr>
                <w:noProof/>
                <w:webHidden/>
              </w:rPr>
              <w:tab/>
            </w:r>
            <w:r w:rsidR="00CD400B">
              <w:rPr>
                <w:noProof/>
                <w:webHidden/>
              </w:rPr>
              <w:fldChar w:fldCharType="begin"/>
            </w:r>
            <w:r w:rsidR="00CD400B">
              <w:rPr>
                <w:noProof/>
                <w:webHidden/>
              </w:rPr>
              <w:instrText xml:space="preserve"> PAGEREF _Toc500170273 \h </w:instrText>
            </w:r>
            <w:r w:rsidR="00CD400B">
              <w:rPr>
                <w:noProof/>
                <w:webHidden/>
              </w:rPr>
            </w:r>
            <w:r w:rsidR="00CD400B">
              <w:rPr>
                <w:noProof/>
                <w:webHidden/>
              </w:rPr>
              <w:fldChar w:fldCharType="separate"/>
            </w:r>
            <w:r w:rsidR="00AE1D74">
              <w:rPr>
                <w:noProof/>
                <w:webHidden/>
              </w:rPr>
              <w:t>20</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4" w:history="1">
            <w:r w:rsidR="00CD400B" w:rsidRPr="00C626E4">
              <w:rPr>
                <w:rStyle w:val="Hyperlink"/>
                <w:noProof/>
              </w:rPr>
              <w:t>Outlook Attitudes and Beliefs</w:t>
            </w:r>
            <w:r w:rsidR="00CD400B">
              <w:rPr>
                <w:noProof/>
                <w:webHidden/>
              </w:rPr>
              <w:tab/>
            </w:r>
            <w:r w:rsidR="00CD400B">
              <w:rPr>
                <w:noProof/>
                <w:webHidden/>
              </w:rPr>
              <w:fldChar w:fldCharType="begin"/>
            </w:r>
            <w:r w:rsidR="00CD400B">
              <w:rPr>
                <w:noProof/>
                <w:webHidden/>
              </w:rPr>
              <w:instrText xml:space="preserve"> PAGEREF _Toc500170274 \h </w:instrText>
            </w:r>
            <w:r w:rsidR="00CD400B">
              <w:rPr>
                <w:noProof/>
                <w:webHidden/>
              </w:rPr>
            </w:r>
            <w:r w:rsidR="00CD400B">
              <w:rPr>
                <w:noProof/>
                <w:webHidden/>
              </w:rPr>
              <w:fldChar w:fldCharType="separate"/>
            </w:r>
            <w:r w:rsidR="00AE1D74">
              <w:rPr>
                <w:noProof/>
                <w:webHidden/>
              </w:rPr>
              <w:t>20</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5" w:history="1">
            <w:r w:rsidR="00CD400B" w:rsidRPr="00C626E4">
              <w:rPr>
                <w:rStyle w:val="Hyperlink"/>
                <w:noProof/>
              </w:rPr>
              <w:t>Social Interactions</w:t>
            </w:r>
            <w:r w:rsidR="00CD400B">
              <w:rPr>
                <w:noProof/>
                <w:webHidden/>
              </w:rPr>
              <w:tab/>
            </w:r>
            <w:r w:rsidR="00CD400B">
              <w:rPr>
                <w:noProof/>
                <w:webHidden/>
              </w:rPr>
              <w:fldChar w:fldCharType="begin"/>
            </w:r>
            <w:r w:rsidR="00CD400B">
              <w:rPr>
                <w:noProof/>
                <w:webHidden/>
              </w:rPr>
              <w:instrText xml:space="preserve"> PAGEREF _Toc500170275 \h </w:instrText>
            </w:r>
            <w:r w:rsidR="00CD400B">
              <w:rPr>
                <w:noProof/>
                <w:webHidden/>
              </w:rPr>
            </w:r>
            <w:r w:rsidR="00CD400B">
              <w:rPr>
                <w:noProof/>
                <w:webHidden/>
              </w:rPr>
              <w:fldChar w:fldCharType="separate"/>
            </w:r>
            <w:r w:rsidR="00AE1D74">
              <w:rPr>
                <w:noProof/>
                <w:webHidden/>
              </w:rPr>
              <w:t>21</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76" w:history="1">
            <w:r w:rsidR="00CD400B" w:rsidRPr="00C626E4">
              <w:rPr>
                <w:rStyle w:val="Hyperlink"/>
                <w:noProof/>
              </w:rPr>
              <w:t>Any Other Issues</w:t>
            </w:r>
            <w:r w:rsidR="00CD400B">
              <w:rPr>
                <w:noProof/>
                <w:webHidden/>
              </w:rPr>
              <w:tab/>
            </w:r>
            <w:r w:rsidR="00CD400B">
              <w:rPr>
                <w:noProof/>
                <w:webHidden/>
              </w:rPr>
              <w:fldChar w:fldCharType="begin"/>
            </w:r>
            <w:r w:rsidR="00CD400B">
              <w:rPr>
                <w:noProof/>
                <w:webHidden/>
              </w:rPr>
              <w:instrText xml:space="preserve"> PAGEREF _Toc500170276 \h </w:instrText>
            </w:r>
            <w:r w:rsidR="00CD400B">
              <w:rPr>
                <w:noProof/>
                <w:webHidden/>
              </w:rPr>
            </w:r>
            <w:r w:rsidR="00CD400B">
              <w:rPr>
                <w:noProof/>
                <w:webHidden/>
              </w:rPr>
              <w:fldChar w:fldCharType="separate"/>
            </w:r>
            <w:r w:rsidR="00AE1D74">
              <w:rPr>
                <w:noProof/>
                <w:webHidden/>
              </w:rPr>
              <w:t>21</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77" w:history="1">
            <w:r w:rsidR="00CD400B" w:rsidRPr="00C626E4">
              <w:rPr>
                <w:rStyle w:val="Hyperlink"/>
                <w:noProof/>
              </w:rPr>
              <w:t>11. Support Provided for Closed Cases that Received Enhanced Support</w:t>
            </w:r>
            <w:r w:rsidR="00CD400B">
              <w:rPr>
                <w:noProof/>
                <w:webHidden/>
              </w:rPr>
              <w:tab/>
            </w:r>
            <w:r w:rsidR="00CD400B">
              <w:rPr>
                <w:noProof/>
                <w:webHidden/>
              </w:rPr>
              <w:fldChar w:fldCharType="begin"/>
            </w:r>
            <w:r w:rsidR="00CD400B">
              <w:rPr>
                <w:noProof/>
                <w:webHidden/>
              </w:rPr>
              <w:instrText xml:space="preserve"> PAGEREF _Toc500170277 \h </w:instrText>
            </w:r>
            <w:r w:rsidR="00CD400B">
              <w:rPr>
                <w:noProof/>
                <w:webHidden/>
              </w:rPr>
            </w:r>
            <w:r w:rsidR="00CD400B">
              <w:rPr>
                <w:noProof/>
                <w:webHidden/>
              </w:rPr>
              <w:fldChar w:fldCharType="separate"/>
            </w:r>
            <w:r w:rsidR="00AE1D74">
              <w:rPr>
                <w:noProof/>
                <w:webHidden/>
              </w:rPr>
              <w:t>22</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78" w:history="1">
            <w:r w:rsidR="00CD400B" w:rsidRPr="00C626E4">
              <w:rPr>
                <w:rStyle w:val="Hyperlink"/>
                <w:noProof/>
              </w:rPr>
              <w:t>12. Length of Support</w:t>
            </w:r>
            <w:r w:rsidR="00CD400B">
              <w:rPr>
                <w:noProof/>
                <w:webHidden/>
              </w:rPr>
              <w:tab/>
            </w:r>
            <w:r w:rsidR="00CD400B">
              <w:rPr>
                <w:noProof/>
                <w:webHidden/>
              </w:rPr>
              <w:fldChar w:fldCharType="begin"/>
            </w:r>
            <w:r w:rsidR="00CD400B">
              <w:rPr>
                <w:noProof/>
                <w:webHidden/>
              </w:rPr>
              <w:instrText xml:space="preserve"> PAGEREF _Toc500170278 \h </w:instrText>
            </w:r>
            <w:r w:rsidR="00CD400B">
              <w:rPr>
                <w:noProof/>
                <w:webHidden/>
              </w:rPr>
            </w:r>
            <w:r w:rsidR="00CD400B">
              <w:rPr>
                <w:noProof/>
                <w:webHidden/>
              </w:rPr>
              <w:fldChar w:fldCharType="separate"/>
            </w:r>
            <w:r w:rsidR="00AE1D74">
              <w:rPr>
                <w:noProof/>
                <w:webHidden/>
              </w:rPr>
              <w:t>23</w:t>
            </w:r>
            <w:r w:rsidR="00CD400B">
              <w:rPr>
                <w:noProof/>
                <w:webHidden/>
              </w:rPr>
              <w:fldChar w:fldCharType="end"/>
            </w:r>
          </w:hyperlink>
        </w:p>
        <w:p w:rsidR="00CD400B" w:rsidRDefault="005C2325">
          <w:pPr>
            <w:pStyle w:val="TOC1"/>
            <w:tabs>
              <w:tab w:val="right" w:leader="dot" w:pos="9913"/>
            </w:tabs>
            <w:rPr>
              <w:rFonts w:eastAsiaTheme="minorEastAsia"/>
              <w:noProof/>
              <w:lang w:eastAsia="en-GB"/>
            </w:rPr>
          </w:pPr>
          <w:hyperlink w:anchor="_Toc500170279" w:history="1">
            <w:r w:rsidR="00CD400B" w:rsidRPr="00C626E4">
              <w:rPr>
                <w:rStyle w:val="Hyperlink"/>
                <w:noProof/>
              </w:rPr>
              <w:t>13. Line Graphs</w:t>
            </w:r>
            <w:r w:rsidR="00CD400B">
              <w:rPr>
                <w:noProof/>
                <w:webHidden/>
              </w:rPr>
              <w:tab/>
            </w:r>
            <w:r w:rsidR="00CD400B">
              <w:rPr>
                <w:noProof/>
                <w:webHidden/>
              </w:rPr>
              <w:fldChar w:fldCharType="begin"/>
            </w:r>
            <w:r w:rsidR="00CD400B">
              <w:rPr>
                <w:noProof/>
                <w:webHidden/>
              </w:rPr>
              <w:instrText xml:space="preserve"> PAGEREF _Toc500170279 \h </w:instrText>
            </w:r>
            <w:r w:rsidR="00CD400B">
              <w:rPr>
                <w:noProof/>
                <w:webHidden/>
              </w:rPr>
            </w:r>
            <w:r w:rsidR="00CD400B">
              <w:rPr>
                <w:noProof/>
                <w:webHidden/>
              </w:rPr>
              <w:fldChar w:fldCharType="separate"/>
            </w:r>
            <w:r w:rsidR="00AE1D74">
              <w:rPr>
                <w:noProof/>
                <w:webHidden/>
              </w:rPr>
              <w:t>24</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80" w:history="1">
            <w:r w:rsidR="00CD400B" w:rsidRPr="00C626E4">
              <w:rPr>
                <w:rStyle w:val="Hyperlink"/>
                <w:noProof/>
              </w:rPr>
              <w:t>Referral Sources</w:t>
            </w:r>
            <w:r w:rsidR="00CD400B">
              <w:rPr>
                <w:noProof/>
                <w:webHidden/>
              </w:rPr>
              <w:tab/>
            </w:r>
            <w:r w:rsidR="00CD400B">
              <w:rPr>
                <w:noProof/>
                <w:webHidden/>
              </w:rPr>
              <w:fldChar w:fldCharType="begin"/>
            </w:r>
            <w:r w:rsidR="00CD400B">
              <w:rPr>
                <w:noProof/>
                <w:webHidden/>
              </w:rPr>
              <w:instrText xml:space="preserve"> PAGEREF _Toc500170280 \h </w:instrText>
            </w:r>
            <w:r w:rsidR="00CD400B">
              <w:rPr>
                <w:noProof/>
                <w:webHidden/>
              </w:rPr>
            </w:r>
            <w:r w:rsidR="00CD400B">
              <w:rPr>
                <w:noProof/>
                <w:webHidden/>
              </w:rPr>
              <w:fldChar w:fldCharType="separate"/>
            </w:r>
            <w:r w:rsidR="00AE1D74">
              <w:rPr>
                <w:noProof/>
                <w:webHidden/>
              </w:rPr>
              <w:t>28</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81" w:history="1">
            <w:r w:rsidR="00CD400B" w:rsidRPr="00C626E4">
              <w:rPr>
                <w:rStyle w:val="Hyperlink"/>
                <w:noProof/>
              </w:rPr>
              <w:t>Crime Types</w:t>
            </w:r>
            <w:r w:rsidR="00CD400B">
              <w:rPr>
                <w:noProof/>
                <w:webHidden/>
              </w:rPr>
              <w:tab/>
            </w:r>
            <w:r w:rsidR="00CD400B">
              <w:rPr>
                <w:noProof/>
                <w:webHidden/>
              </w:rPr>
              <w:fldChar w:fldCharType="begin"/>
            </w:r>
            <w:r w:rsidR="00CD400B">
              <w:rPr>
                <w:noProof/>
                <w:webHidden/>
              </w:rPr>
              <w:instrText xml:space="preserve"> PAGEREF _Toc500170281 \h </w:instrText>
            </w:r>
            <w:r w:rsidR="00CD400B">
              <w:rPr>
                <w:noProof/>
                <w:webHidden/>
              </w:rPr>
            </w:r>
            <w:r w:rsidR="00CD400B">
              <w:rPr>
                <w:noProof/>
                <w:webHidden/>
              </w:rPr>
              <w:fldChar w:fldCharType="separate"/>
            </w:r>
            <w:r w:rsidR="00AE1D74">
              <w:rPr>
                <w:noProof/>
                <w:webHidden/>
              </w:rPr>
              <w:t>29</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82" w:history="1">
            <w:r w:rsidR="00CD400B" w:rsidRPr="00C626E4">
              <w:rPr>
                <w:rStyle w:val="Hyperlink"/>
                <w:noProof/>
              </w:rPr>
              <w:t>Demographics for Closed Cases Accepting Enhanced Support:</w:t>
            </w:r>
            <w:r w:rsidR="00CD400B">
              <w:rPr>
                <w:noProof/>
                <w:webHidden/>
              </w:rPr>
              <w:tab/>
            </w:r>
            <w:r w:rsidR="00CD400B">
              <w:rPr>
                <w:noProof/>
                <w:webHidden/>
              </w:rPr>
              <w:fldChar w:fldCharType="begin"/>
            </w:r>
            <w:r w:rsidR="00CD400B">
              <w:rPr>
                <w:noProof/>
                <w:webHidden/>
              </w:rPr>
              <w:instrText xml:space="preserve"> PAGEREF _Toc500170282 \h </w:instrText>
            </w:r>
            <w:r w:rsidR="00CD400B">
              <w:rPr>
                <w:noProof/>
                <w:webHidden/>
              </w:rPr>
            </w:r>
            <w:r w:rsidR="00CD400B">
              <w:rPr>
                <w:noProof/>
                <w:webHidden/>
              </w:rPr>
              <w:fldChar w:fldCharType="separate"/>
            </w:r>
            <w:r w:rsidR="00AE1D74">
              <w:rPr>
                <w:noProof/>
                <w:webHidden/>
              </w:rPr>
              <w:t>30</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83" w:history="1">
            <w:r w:rsidR="00CD400B" w:rsidRPr="00C626E4">
              <w:rPr>
                <w:rStyle w:val="Hyperlink"/>
                <w:noProof/>
              </w:rPr>
              <w:t>Geographical Areas</w:t>
            </w:r>
            <w:r w:rsidR="00CD400B">
              <w:rPr>
                <w:noProof/>
                <w:webHidden/>
              </w:rPr>
              <w:tab/>
            </w:r>
            <w:r w:rsidR="00CD400B">
              <w:rPr>
                <w:noProof/>
                <w:webHidden/>
              </w:rPr>
              <w:fldChar w:fldCharType="begin"/>
            </w:r>
            <w:r w:rsidR="00CD400B">
              <w:rPr>
                <w:noProof/>
                <w:webHidden/>
              </w:rPr>
              <w:instrText xml:space="preserve"> PAGEREF _Toc500170283 \h </w:instrText>
            </w:r>
            <w:r w:rsidR="00CD400B">
              <w:rPr>
                <w:noProof/>
                <w:webHidden/>
              </w:rPr>
            </w:r>
            <w:r w:rsidR="00CD400B">
              <w:rPr>
                <w:noProof/>
                <w:webHidden/>
              </w:rPr>
              <w:fldChar w:fldCharType="separate"/>
            </w:r>
            <w:r w:rsidR="00AE1D74">
              <w:rPr>
                <w:noProof/>
                <w:webHidden/>
              </w:rPr>
              <w:t>37</w:t>
            </w:r>
            <w:r w:rsidR="00CD400B">
              <w:rPr>
                <w:noProof/>
                <w:webHidden/>
              </w:rPr>
              <w:fldChar w:fldCharType="end"/>
            </w:r>
          </w:hyperlink>
        </w:p>
        <w:p w:rsidR="00CD400B" w:rsidRDefault="005C2325">
          <w:pPr>
            <w:pStyle w:val="TOC2"/>
            <w:tabs>
              <w:tab w:val="right" w:leader="dot" w:pos="9913"/>
            </w:tabs>
            <w:rPr>
              <w:rFonts w:eastAsiaTheme="minorEastAsia"/>
              <w:noProof/>
              <w:lang w:eastAsia="en-GB"/>
            </w:rPr>
          </w:pPr>
          <w:hyperlink w:anchor="_Toc500170284" w:history="1">
            <w:r w:rsidR="00CD400B" w:rsidRPr="00C626E4">
              <w:rPr>
                <w:rStyle w:val="Hyperlink"/>
                <w:noProof/>
              </w:rPr>
              <w:t>Length of Support</w:t>
            </w:r>
            <w:r w:rsidR="00CD400B">
              <w:rPr>
                <w:noProof/>
                <w:webHidden/>
              </w:rPr>
              <w:tab/>
            </w:r>
            <w:r w:rsidR="00CD400B">
              <w:rPr>
                <w:noProof/>
                <w:webHidden/>
              </w:rPr>
              <w:fldChar w:fldCharType="begin"/>
            </w:r>
            <w:r w:rsidR="00CD400B">
              <w:rPr>
                <w:noProof/>
                <w:webHidden/>
              </w:rPr>
              <w:instrText xml:space="preserve"> PAGEREF _Toc500170284 \h </w:instrText>
            </w:r>
            <w:r w:rsidR="00CD400B">
              <w:rPr>
                <w:noProof/>
                <w:webHidden/>
              </w:rPr>
            </w:r>
            <w:r w:rsidR="00CD400B">
              <w:rPr>
                <w:noProof/>
                <w:webHidden/>
              </w:rPr>
              <w:fldChar w:fldCharType="separate"/>
            </w:r>
            <w:r w:rsidR="00AE1D74">
              <w:rPr>
                <w:noProof/>
                <w:webHidden/>
              </w:rPr>
              <w:t>38</w:t>
            </w:r>
            <w:r w:rsidR="00CD400B">
              <w:rPr>
                <w:noProof/>
                <w:webHidden/>
              </w:rPr>
              <w:fldChar w:fldCharType="end"/>
            </w:r>
          </w:hyperlink>
        </w:p>
        <w:p w:rsidR="009669F6" w:rsidRDefault="009669F6">
          <w:pPr>
            <w:rPr>
              <w:b/>
              <w:bCs/>
              <w:noProof/>
            </w:rPr>
          </w:pPr>
          <w:r>
            <w:rPr>
              <w:b/>
              <w:bCs/>
              <w:noProof/>
            </w:rPr>
            <w:lastRenderedPageBreak/>
            <w:fldChar w:fldCharType="end"/>
          </w:r>
        </w:p>
      </w:sdtContent>
    </w:sdt>
    <w:p w:rsidR="009669F6" w:rsidRDefault="009669F6" w:rsidP="00835DAA">
      <w:pPr>
        <w:pStyle w:val="Heading1"/>
        <w:rPr>
          <w:rFonts w:eastAsiaTheme="minorEastAsia"/>
          <w:noProof/>
          <w:lang w:eastAsia="en-GB"/>
        </w:rPr>
      </w:pPr>
      <w:bookmarkStart w:id="2" w:name="_Toc500170250"/>
      <w:r>
        <w:rPr>
          <w:rFonts w:eastAsiaTheme="minorEastAsia"/>
          <w:noProof/>
          <w:lang w:eastAsia="en-GB"/>
        </w:rPr>
        <w:t>1. Introduction</w:t>
      </w:r>
      <w:bookmarkEnd w:id="2"/>
      <w:r w:rsidR="006E1EF8">
        <w:rPr>
          <w:rFonts w:eastAsiaTheme="minorEastAsia"/>
          <w:noProof/>
          <w:lang w:eastAsia="en-GB"/>
        </w:rPr>
        <w:t xml:space="preserve"> and Summary</w:t>
      </w:r>
    </w:p>
    <w:p w:rsidR="009669F6" w:rsidRDefault="009669F6" w:rsidP="009669F6">
      <w:pPr>
        <w:rPr>
          <w:lang w:eastAsia="en-GB"/>
        </w:rPr>
      </w:pPr>
    </w:p>
    <w:p w:rsidR="00DB6053" w:rsidRDefault="00DB6053" w:rsidP="009669F6">
      <w:pPr>
        <w:rPr>
          <w:lang w:eastAsia="en-GB"/>
        </w:rPr>
      </w:pPr>
      <w:r>
        <w:rPr>
          <w:lang w:eastAsia="en-GB"/>
        </w:rPr>
        <w:t xml:space="preserve">This Annual Report is split into two main sections: the first section provides a breakdown of the referrals we received throughout this second year of service delivery.  Then, rather than providing a narrative, it was considered more useful to use the second part of the report </w:t>
      </w:r>
      <w:r w:rsidR="003E4967">
        <w:rPr>
          <w:lang w:eastAsia="en-GB"/>
        </w:rPr>
        <w:t xml:space="preserve">to </w:t>
      </w:r>
      <w:r>
        <w:rPr>
          <w:lang w:eastAsia="en-GB"/>
        </w:rPr>
        <w:t>compare like for like between the two years in chart format to better illustrate similarities and differences.</w:t>
      </w:r>
    </w:p>
    <w:p w:rsidR="006E1EF8" w:rsidRDefault="006E1EF8" w:rsidP="006E1EF8">
      <w:r>
        <w:t>Given the fact that we developed our reporting structure at the end of the last reporting year to enable us to more accurately reflect our performance, it was difficult to then compare some of the data with last year as this wouldn’t have been like for like.  In particular, we agreed with the commissioners that we need</w:t>
      </w:r>
      <w:r w:rsidR="003E4967">
        <w:t>ed</w:t>
      </w:r>
      <w:r>
        <w:t xml:space="preserve"> to record data from closed cases this year rather than open cases to ensure we provided a full picture of support </w:t>
      </w:r>
      <w:r w:rsidR="003E4967">
        <w:t>from</w:t>
      </w:r>
      <w:r>
        <w:t xml:space="preserve"> start to finish.</w:t>
      </w:r>
    </w:p>
    <w:p w:rsidR="006E1EF8" w:rsidRDefault="006E1EF8" w:rsidP="006E1EF8">
      <w:r>
        <w:t>For referrals in and cases closed this year, we saw numbers start relatively high in October and November, before dropping off in December and remaining at that slightly lower level until May, when numbers picked back up and remained at a relatively constant level through until September.</w:t>
      </w:r>
    </w:p>
    <w:p w:rsidR="006E1EF8" w:rsidRDefault="006E1EF8" w:rsidP="006E1EF8">
      <w:r>
        <w:t>Numbers of victims accepting Enhanced Support declined between October and January before steadily increasing (except for a dip in April and then July) through until the end of the reporting year.</w:t>
      </w:r>
    </w:p>
    <w:p w:rsidR="00AE17C7" w:rsidRDefault="006E1EF8" w:rsidP="006E1EF8">
      <w:r>
        <w:t xml:space="preserve">Overall, we received significantly more referrals than last year (although it’s difficult to compare given the different reporting mechanisms and our lack of data from Oct-Dec 2015).  </w:t>
      </w:r>
    </w:p>
    <w:p w:rsidR="006E1EF8" w:rsidRDefault="006E1EF8" w:rsidP="006E1EF8">
      <w:r>
        <w:t xml:space="preserve">Reported crime and subsequent referrals by </w:t>
      </w:r>
      <w:proofErr w:type="spellStart"/>
      <w:r>
        <w:t>Leics</w:t>
      </w:r>
      <w:proofErr w:type="spellEnd"/>
      <w:r>
        <w:t xml:space="preserve"> Police still make up the vast majority of our referrals.  Cases from Action Fraud increased considerably when compared with last year.</w:t>
      </w:r>
    </w:p>
    <w:p w:rsidR="006E1EF8" w:rsidRDefault="006E1EF8" w:rsidP="006E1EF8">
      <w:r>
        <w:t xml:space="preserve">Whilst patterns for </w:t>
      </w:r>
      <w:r w:rsidR="00AE17C7">
        <w:t xml:space="preserve">crime types and </w:t>
      </w:r>
      <w:r>
        <w:t>the demographics of our Service Users remained similar to last year, we did see a real i</w:t>
      </w:r>
      <w:r w:rsidR="00AE17C7">
        <w:t>mprovement in the recording of d</w:t>
      </w:r>
      <w:r>
        <w:t>emographic data for those cases accepting Enhanced support.  Another headline that is evident from the charts is the significant increase in service users accessing support for longer periods of time, with the number of those accepting support for 1-2 months jumping considerably.</w:t>
      </w:r>
    </w:p>
    <w:p w:rsidR="009669F6" w:rsidRDefault="009669F6" w:rsidP="009669F6">
      <w:pPr>
        <w:rPr>
          <w:lang w:eastAsia="en-GB"/>
        </w:rPr>
      </w:pPr>
    </w:p>
    <w:p w:rsidR="00AE17C7" w:rsidRDefault="00AE17C7" w:rsidP="009669F6">
      <w:pPr>
        <w:rPr>
          <w:lang w:eastAsia="en-GB"/>
        </w:rPr>
      </w:pPr>
    </w:p>
    <w:p w:rsidR="00AE1D74" w:rsidRDefault="00AE1D74" w:rsidP="009669F6">
      <w:pPr>
        <w:rPr>
          <w:lang w:eastAsia="en-GB"/>
        </w:rPr>
      </w:pPr>
    </w:p>
    <w:p w:rsidR="00AE1D74" w:rsidRDefault="00AE1D74" w:rsidP="009669F6">
      <w:pPr>
        <w:rPr>
          <w:lang w:eastAsia="en-GB"/>
        </w:rPr>
      </w:pPr>
    </w:p>
    <w:p w:rsidR="003E4967" w:rsidRDefault="003E4967" w:rsidP="009669F6">
      <w:pPr>
        <w:rPr>
          <w:lang w:eastAsia="en-GB"/>
        </w:rPr>
      </w:pPr>
    </w:p>
    <w:p w:rsidR="009669F6" w:rsidRDefault="009669F6" w:rsidP="009669F6">
      <w:pPr>
        <w:rPr>
          <w:lang w:eastAsia="en-GB"/>
        </w:rPr>
      </w:pPr>
    </w:p>
    <w:p w:rsidR="009669F6" w:rsidRDefault="009669F6" w:rsidP="009669F6">
      <w:pPr>
        <w:rPr>
          <w:lang w:eastAsia="en-GB"/>
        </w:rPr>
      </w:pPr>
    </w:p>
    <w:p w:rsidR="009669F6" w:rsidRDefault="009669F6" w:rsidP="009669F6">
      <w:pPr>
        <w:rPr>
          <w:lang w:eastAsia="en-GB"/>
        </w:rPr>
      </w:pPr>
    </w:p>
    <w:p w:rsidR="009669F6" w:rsidRDefault="009669F6" w:rsidP="009669F6">
      <w:pPr>
        <w:rPr>
          <w:lang w:eastAsia="en-GB"/>
        </w:rPr>
      </w:pPr>
    </w:p>
    <w:p w:rsidR="009669F6" w:rsidRPr="009669F6" w:rsidRDefault="009669F6" w:rsidP="009669F6">
      <w:pPr>
        <w:rPr>
          <w:lang w:eastAsia="en-GB"/>
        </w:rPr>
      </w:pPr>
    </w:p>
    <w:p w:rsidR="00835DAA" w:rsidRDefault="009669F6" w:rsidP="00835DAA">
      <w:pPr>
        <w:pStyle w:val="Heading1"/>
      </w:pPr>
      <w:bookmarkStart w:id="3" w:name="_Toc500170251"/>
      <w:r>
        <w:rPr>
          <w:rFonts w:eastAsiaTheme="minorEastAsia"/>
          <w:noProof/>
          <w:lang w:eastAsia="en-GB"/>
        </w:rPr>
        <w:lastRenderedPageBreak/>
        <w:t>2</w:t>
      </w:r>
      <w:r w:rsidR="00214D50">
        <w:rPr>
          <w:rFonts w:eastAsiaTheme="minorEastAsia"/>
          <w:noProof/>
          <w:lang w:eastAsia="en-GB"/>
        </w:rPr>
        <w:t>.</w:t>
      </w:r>
      <w:r w:rsidR="00835DAA">
        <w:rPr>
          <w:rFonts w:eastAsiaTheme="minorEastAsia"/>
          <w:noProof/>
          <w:lang w:eastAsia="en-GB"/>
        </w:rPr>
        <w:t xml:space="preserve"> </w:t>
      </w:r>
      <w:r w:rsidR="00207EC9">
        <w:rPr>
          <w:rFonts w:eastAsiaTheme="minorEastAsia"/>
          <w:noProof/>
          <w:lang w:eastAsia="en-GB"/>
        </w:rPr>
        <w:t xml:space="preserve">Performance </w:t>
      </w:r>
      <w:r w:rsidR="00835DAA">
        <w:rPr>
          <w:rFonts w:eastAsiaTheme="minorEastAsia"/>
          <w:noProof/>
          <w:lang w:eastAsia="en-GB"/>
        </w:rPr>
        <w:t>Headlines</w:t>
      </w:r>
      <w:bookmarkStart w:id="4" w:name="_GoBack"/>
      <w:bookmarkEnd w:id="3"/>
      <w:bookmarkEnd w:id="4"/>
    </w:p>
    <w:p w:rsidR="00835DAA" w:rsidRPr="006668A0" w:rsidRDefault="004C1F06" w:rsidP="00835DAA">
      <w:r w:rsidRPr="003F5034">
        <w:rPr>
          <w:rFonts w:eastAsiaTheme="minorEastAsia"/>
          <w:noProof/>
          <w:lang w:eastAsia="en-GB"/>
        </w:rPr>
        <mc:AlternateContent>
          <mc:Choice Requires="wps">
            <w:drawing>
              <wp:anchor distT="0" distB="0" distL="114300" distR="114300" simplePos="0" relativeHeight="251672576" behindDoc="0" locked="0" layoutInCell="1" allowOverlap="1" wp14:anchorId="57C9DFA9" wp14:editId="7696333A">
                <wp:simplePos x="0" y="0"/>
                <wp:positionH relativeFrom="column">
                  <wp:posOffset>3997960</wp:posOffset>
                </wp:positionH>
                <wp:positionV relativeFrom="paragraph">
                  <wp:posOffset>259715</wp:posOffset>
                </wp:positionV>
                <wp:extent cx="2329132" cy="1725283"/>
                <wp:effectExtent l="0" t="0" r="14605" b="27940"/>
                <wp:wrapNone/>
                <wp:docPr id="74" name="Text Box 74"/>
                <wp:cNvGraphicFramePr/>
                <a:graphic xmlns:a="http://schemas.openxmlformats.org/drawingml/2006/main">
                  <a:graphicData uri="http://schemas.microsoft.com/office/word/2010/wordprocessingShape">
                    <wps:wsp>
                      <wps:cNvSpPr txBox="1"/>
                      <wps:spPr>
                        <a:xfrm>
                          <a:off x="0" y="0"/>
                          <a:ext cx="2329132" cy="172528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5354FE" w:rsidRDefault="00DB6053" w:rsidP="005354FE">
                            <w:pPr>
                              <w:jc w:val="center"/>
                              <w:rPr>
                                <w:sz w:val="20"/>
                                <w:szCs w:val="20"/>
                              </w:rPr>
                            </w:pPr>
                            <w:r>
                              <w:rPr>
                                <w:sz w:val="28"/>
                                <w:szCs w:val="20"/>
                              </w:rPr>
                              <w:t xml:space="preserve">2,054 </w:t>
                            </w:r>
                            <w:r>
                              <w:rPr>
                                <w:sz w:val="18"/>
                                <w:szCs w:val="18"/>
                              </w:rPr>
                              <w:t>(16</w:t>
                            </w:r>
                            <w:r w:rsidRPr="008A0B1E">
                              <w:rPr>
                                <w:sz w:val="18"/>
                                <w:szCs w:val="18"/>
                              </w:rPr>
                              <w:t>%) (</w:t>
                            </w:r>
                            <w:proofErr w:type="gramStart"/>
                            <w:r w:rsidRPr="009D064F">
                              <w:rPr>
                                <w:sz w:val="20"/>
                                <w:szCs w:val="20"/>
                              </w:rPr>
                              <w:t>victims</w:t>
                            </w:r>
                            <w:proofErr w:type="gramEnd"/>
                            <w:r w:rsidRPr="009D064F">
                              <w:rPr>
                                <w:sz w:val="20"/>
                                <w:szCs w:val="20"/>
                              </w:rPr>
                              <w:t xml:space="preserve">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DB6053" w:rsidRPr="0022776E" w:rsidRDefault="00DB6053" w:rsidP="00835DAA">
                            <w:pPr>
                              <w:pStyle w:val="ListParagraph"/>
                              <w:numPr>
                                <w:ilvl w:val="0"/>
                                <w:numId w:val="3"/>
                              </w:numPr>
                              <w:rPr>
                                <w:sz w:val="16"/>
                                <w:szCs w:val="20"/>
                              </w:rPr>
                            </w:pPr>
                            <w:r>
                              <w:rPr>
                                <w:b/>
                                <w:sz w:val="16"/>
                                <w:szCs w:val="20"/>
                              </w:rPr>
                              <w:t>1,501</w:t>
                            </w:r>
                            <w:r w:rsidRPr="0022776E">
                              <w:rPr>
                                <w:sz w:val="16"/>
                                <w:szCs w:val="20"/>
                              </w:rPr>
                              <w:t xml:space="preserve"> cases were supported and closed</w:t>
                            </w:r>
                          </w:p>
                          <w:p w:rsidR="00DB6053" w:rsidRPr="0022776E" w:rsidRDefault="00DB6053" w:rsidP="00835DAA">
                            <w:pPr>
                              <w:pStyle w:val="ListParagraph"/>
                              <w:numPr>
                                <w:ilvl w:val="0"/>
                                <w:numId w:val="3"/>
                              </w:numPr>
                              <w:rPr>
                                <w:sz w:val="16"/>
                                <w:szCs w:val="20"/>
                              </w:rPr>
                            </w:pPr>
                            <w:r>
                              <w:rPr>
                                <w:b/>
                                <w:sz w:val="16"/>
                                <w:szCs w:val="20"/>
                              </w:rPr>
                              <w:t xml:space="preserve">553 </w:t>
                            </w:r>
                            <w:r w:rsidRPr="0022776E">
                              <w:rPr>
                                <w:sz w:val="16"/>
                                <w:szCs w:val="20"/>
                              </w:rPr>
                              <w:t xml:space="preserve">victims declined full support but accepted information and advice </w:t>
                            </w:r>
                          </w:p>
                          <w:p w:rsidR="00DB6053" w:rsidRPr="0093562C" w:rsidRDefault="00DB6053" w:rsidP="00835DAA">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9DFA9" id="Text Box 74" o:spid="_x0000_s1026" style="position:absolute;margin-left:314.8pt;margin-top:20.45pt;width:183.4pt;height:1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" fillcolor="window" strokecolor="windowText" strokeweight="1pt">
                <v:stroke joinstyle="miter"/>
                <v:textbox>
                  <w:txbxContent>
                    <w:p w:rsidR="00DB6053" w:rsidRPr="005354FE" w:rsidRDefault="00DB6053" w:rsidP="005354FE">
                      <w:pPr>
                        <w:jc w:val="center"/>
                        <w:rPr>
                          <w:sz w:val="20"/>
                          <w:szCs w:val="20"/>
                        </w:rPr>
                      </w:pPr>
                      <w:r>
                        <w:rPr>
                          <w:sz w:val="28"/>
                          <w:szCs w:val="20"/>
                        </w:rPr>
                        <w:t xml:space="preserve">2,054 </w:t>
                      </w:r>
                      <w:r>
                        <w:rPr>
                          <w:sz w:val="18"/>
                          <w:szCs w:val="18"/>
                        </w:rPr>
                        <w:t>(16</w:t>
                      </w:r>
                      <w:r w:rsidRPr="008A0B1E">
                        <w:rPr>
                          <w:sz w:val="18"/>
                          <w:szCs w:val="18"/>
                        </w:rPr>
                        <w:t>%) (</w:t>
                      </w:r>
                      <w:proofErr w:type="gramStart"/>
                      <w:r w:rsidRPr="009D064F">
                        <w:rPr>
                          <w:sz w:val="20"/>
                          <w:szCs w:val="20"/>
                        </w:rPr>
                        <w:t>victims</w:t>
                      </w:r>
                      <w:proofErr w:type="gramEnd"/>
                      <w:r w:rsidRPr="009D064F">
                        <w:rPr>
                          <w:sz w:val="20"/>
                          <w:szCs w:val="20"/>
                        </w:rPr>
                        <w:t xml:space="preserve">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DB6053" w:rsidRPr="0022776E" w:rsidRDefault="00DB6053" w:rsidP="00835DAA">
                      <w:pPr>
                        <w:pStyle w:val="ListParagraph"/>
                        <w:numPr>
                          <w:ilvl w:val="0"/>
                          <w:numId w:val="3"/>
                        </w:numPr>
                        <w:rPr>
                          <w:sz w:val="16"/>
                          <w:szCs w:val="20"/>
                        </w:rPr>
                      </w:pPr>
                      <w:r>
                        <w:rPr>
                          <w:b/>
                          <w:sz w:val="16"/>
                          <w:szCs w:val="20"/>
                        </w:rPr>
                        <w:t>1,501</w:t>
                      </w:r>
                      <w:r w:rsidRPr="0022776E">
                        <w:rPr>
                          <w:sz w:val="16"/>
                          <w:szCs w:val="20"/>
                        </w:rPr>
                        <w:t xml:space="preserve"> cases were supported and closed</w:t>
                      </w:r>
                    </w:p>
                    <w:p w:rsidR="00DB6053" w:rsidRPr="0022776E" w:rsidRDefault="00DB6053" w:rsidP="00835DAA">
                      <w:pPr>
                        <w:pStyle w:val="ListParagraph"/>
                        <w:numPr>
                          <w:ilvl w:val="0"/>
                          <w:numId w:val="3"/>
                        </w:numPr>
                        <w:rPr>
                          <w:sz w:val="16"/>
                          <w:szCs w:val="20"/>
                        </w:rPr>
                      </w:pPr>
                      <w:r>
                        <w:rPr>
                          <w:b/>
                          <w:sz w:val="16"/>
                          <w:szCs w:val="20"/>
                        </w:rPr>
                        <w:t xml:space="preserve">553 </w:t>
                      </w:r>
                      <w:r w:rsidRPr="0022776E">
                        <w:rPr>
                          <w:sz w:val="16"/>
                          <w:szCs w:val="20"/>
                        </w:rPr>
                        <w:t xml:space="preserve">victims declined full support but accepted information and advice </w:t>
                      </w:r>
                    </w:p>
                    <w:p w:rsidR="00DB6053" w:rsidRPr="0093562C" w:rsidRDefault="00DB6053" w:rsidP="00835DAA">
                      <w:pPr>
                        <w:rPr>
                          <w:sz w:val="16"/>
                          <w:szCs w:val="20"/>
                        </w:rPr>
                      </w:pPr>
                    </w:p>
                  </w:txbxContent>
                </v:textbox>
              </v:roundrect>
            </w:pict>
          </mc:Fallback>
        </mc:AlternateContent>
      </w:r>
      <w:r w:rsidRPr="003F5034">
        <w:rPr>
          <w:rFonts w:eastAsiaTheme="minorEastAsia"/>
          <w:noProof/>
          <w:lang w:eastAsia="en-GB"/>
        </w:rPr>
        <mc:AlternateContent>
          <mc:Choice Requires="wps">
            <w:drawing>
              <wp:anchor distT="0" distB="0" distL="114300" distR="114300" simplePos="0" relativeHeight="251711488" behindDoc="0" locked="0" layoutInCell="1" allowOverlap="1" wp14:anchorId="429A0CF2" wp14:editId="2AEF7ABB">
                <wp:simplePos x="0" y="0"/>
                <wp:positionH relativeFrom="column">
                  <wp:posOffset>2247133</wp:posOffset>
                </wp:positionH>
                <wp:positionV relativeFrom="paragraph">
                  <wp:posOffset>86995</wp:posOffset>
                </wp:positionV>
                <wp:extent cx="1526540" cy="1328348"/>
                <wp:effectExtent l="0" t="0" r="16510" b="24765"/>
                <wp:wrapNone/>
                <wp:docPr id="10" name="Text Box 10"/>
                <wp:cNvGraphicFramePr/>
                <a:graphic xmlns:a="http://schemas.openxmlformats.org/drawingml/2006/main">
                  <a:graphicData uri="http://schemas.microsoft.com/office/word/2010/wordprocessingShape">
                    <wps:wsp>
                      <wps:cNvSpPr txBox="1"/>
                      <wps:spPr>
                        <a:xfrm>
                          <a:off x="0" y="0"/>
                          <a:ext cx="1526540" cy="132834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7F6736" w:rsidRDefault="00DB6053" w:rsidP="001506F7">
                            <w:pPr>
                              <w:jc w:val="center"/>
                              <w:rPr>
                                <w:sz w:val="16"/>
                                <w:szCs w:val="20"/>
                              </w:rPr>
                            </w:pPr>
                            <w:r w:rsidRPr="007F6736">
                              <w:rPr>
                                <w:sz w:val="16"/>
                                <w:szCs w:val="20"/>
                              </w:rPr>
                              <w:t xml:space="preserve">For </w:t>
                            </w:r>
                            <w:r>
                              <w:rPr>
                                <w:szCs w:val="20"/>
                              </w:rPr>
                              <w:t>62</w:t>
                            </w:r>
                            <w:r w:rsidRPr="007F6736">
                              <w:rPr>
                                <w:szCs w:val="20"/>
                              </w:rPr>
                              <w:t xml:space="preserve"> </w:t>
                            </w:r>
                            <w:r w:rsidRPr="007F6736">
                              <w:rPr>
                                <w:sz w:val="16"/>
                                <w:szCs w:val="20"/>
                              </w:rPr>
                              <w:t>(0</w:t>
                            </w:r>
                            <w:r>
                              <w:rPr>
                                <w:sz w:val="16"/>
                                <w:szCs w:val="20"/>
                              </w:rPr>
                              <w:t>.5</w:t>
                            </w:r>
                            <w:r w:rsidRPr="007F6736">
                              <w:rPr>
                                <w:sz w:val="16"/>
                                <w:szCs w:val="20"/>
                              </w:rPr>
                              <w:t xml:space="preserve">%) cases we tried to make contact with the OIC of the case for further risk information. However there was no response, so case was closed with no contact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0CF2" id="Text Box 10" o:spid="_x0000_s1027" style="position:absolute;margin-left:176.95pt;margin-top:6.85pt;width:120.2pt;height:10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" fillcolor="window" strokecolor="windowText" strokeweight="1pt">
                <v:stroke joinstyle="miter"/>
                <v:textbox>
                  <w:txbxContent>
                    <w:p w:rsidR="00DB6053" w:rsidRPr="007F6736" w:rsidRDefault="00DB6053" w:rsidP="001506F7">
                      <w:pPr>
                        <w:jc w:val="center"/>
                        <w:rPr>
                          <w:sz w:val="16"/>
                          <w:szCs w:val="20"/>
                        </w:rPr>
                      </w:pPr>
                      <w:r w:rsidRPr="007F6736">
                        <w:rPr>
                          <w:sz w:val="16"/>
                          <w:szCs w:val="20"/>
                        </w:rPr>
                        <w:t xml:space="preserve">For </w:t>
                      </w:r>
                      <w:r>
                        <w:rPr>
                          <w:szCs w:val="20"/>
                        </w:rPr>
                        <w:t>62</w:t>
                      </w:r>
                      <w:r w:rsidRPr="007F6736">
                        <w:rPr>
                          <w:szCs w:val="20"/>
                        </w:rPr>
                        <w:t xml:space="preserve"> </w:t>
                      </w:r>
                      <w:r w:rsidRPr="007F6736">
                        <w:rPr>
                          <w:sz w:val="16"/>
                          <w:szCs w:val="20"/>
                        </w:rPr>
                        <w:t>(0</w:t>
                      </w:r>
                      <w:r>
                        <w:rPr>
                          <w:sz w:val="16"/>
                          <w:szCs w:val="20"/>
                        </w:rPr>
                        <w:t>.5</w:t>
                      </w:r>
                      <w:r w:rsidRPr="007F6736">
                        <w:rPr>
                          <w:sz w:val="16"/>
                          <w:szCs w:val="20"/>
                        </w:rPr>
                        <w:t xml:space="preserve">%) cases we tried to make contact with the OIC of the case for further risk information. However there was no response, so case was closed with no contact made. </w:t>
                      </w:r>
                    </w:p>
                  </w:txbxContent>
                </v:textbox>
              </v:roundrect>
            </w:pict>
          </mc:Fallback>
        </mc:AlternateContent>
      </w:r>
    </w:p>
    <w:p w:rsidR="00835DAA" w:rsidRPr="006668A0" w:rsidRDefault="004C1F06" w:rsidP="00835DAA">
      <w:r w:rsidRPr="003F5034">
        <w:rPr>
          <w:rFonts w:eastAsiaTheme="minorEastAsia"/>
          <w:noProof/>
          <w:lang w:eastAsia="en-GB"/>
        </w:rPr>
        <mc:AlternateContent>
          <mc:Choice Requires="wps">
            <w:drawing>
              <wp:anchor distT="0" distB="0" distL="114300" distR="114300" simplePos="0" relativeHeight="251650048" behindDoc="0" locked="0" layoutInCell="1" allowOverlap="1" wp14:anchorId="13D8F7F1" wp14:editId="05ACA176">
                <wp:simplePos x="0" y="0"/>
                <wp:positionH relativeFrom="column">
                  <wp:posOffset>792744</wp:posOffset>
                </wp:positionH>
                <wp:positionV relativeFrom="paragraph">
                  <wp:posOffset>271780</wp:posOffset>
                </wp:positionV>
                <wp:extent cx="1585595" cy="1044575"/>
                <wp:effectExtent l="0" t="0" r="14605" b="22225"/>
                <wp:wrapNone/>
                <wp:docPr id="7" name="Text Box 7"/>
                <wp:cNvGraphicFramePr/>
                <a:graphic xmlns:a="http://schemas.openxmlformats.org/drawingml/2006/main">
                  <a:graphicData uri="http://schemas.microsoft.com/office/word/2010/wordprocessingShape">
                    <wps:wsp>
                      <wps:cNvSpPr txBox="1"/>
                      <wps:spPr>
                        <a:xfrm>
                          <a:off x="0" y="0"/>
                          <a:ext cx="1585595" cy="1044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7F6736" w:rsidRDefault="00DB6053" w:rsidP="00835DAA">
                            <w:pPr>
                              <w:jc w:val="center"/>
                              <w:rPr>
                                <w:sz w:val="14"/>
                                <w:szCs w:val="20"/>
                              </w:rPr>
                            </w:pPr>
                            <w:r>
                              <w:rPr>
                                <w:szCs w:val="20"/>
                              </w:rPr>
                              <w:t>849</w:t>
                            </w:r>
                            <w:r w:rsidRPr="007F6736">
                              <w:rPr>
                                <w:szCs w:val="20"/>
                              </w:rPr>
                              <w:t xml:space="preserve"> </w:t>
                            </w:r>
                            <w:r>
                              <w:rPr>
                                <w:sz w:val="16"/>
                                <w:szCs w:val="20"/>
                              </w:rPr>
                              <w:t>(6.6</w:t>
                            </w:r>
                            <w:r w:rsidRPr="007F6736">
                              <w:rPr>
                                <w:sz w:val="16"/>
                                <w:szCs w:val="20"/>
                              </w:rPr>
                              <w:t xml:space="preserve">%) victims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8F7F1" id="Text Box 7" o:spid="_x0000_s1028" style="position:absolute;margin-left:62.4pt;margin-top:21.4pt;width:124.85pt;height:8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" fillcolor="window" strokecolor="windowText" strokeweight="1pt">
                <v:stroke joinstyle="miter"/>
                <v:textbox>
                  <w:txbxContent>
                    <w:p w:rsidR="00DB6053" w:rsidRPr="007F6736" w:rsidRDefault="00DB6053" w:rsidP="00835DAA">
                      <w:pPr>
                        <w:jc w:val="center"/>
                        <w:rPr>
                          <w:sz w:val="14"/>
                          <w:szCs w:val="20"/>
                        </w:rPr>
                      </w:pPr>
                      <w:r>
                        <w:rPr>
                          <w:szCs w:val="20"/>
                        </w:rPr>
                        <w:t>849</w:t>
                      </w:r>
                      <w:r w:rsidRPr="007F6736">
                        <w:rPr>
                          <w:szCs w:val="20"/>
                        </w:rPr>
                        <w:t xml:space="preserve"> </w:t>
                      </w:r>
                      <w:r>
                        <w:rPr>
                          <w:sz w:val="16"/>
                          <w:szCs w:val="20"/>
                        </w:rPr>
                        <w:t>(6.6</w:t>
                      </w:r>
                      <w:r w:rsidRPr="007F6736">
                        <w:rPr>
                          <w:sz w:val="16"/>
                          <w:szCs w:val="20"/>
                        </w:rPr>
                        <w:t xml:space="preserve">%) victims did not respond to phone contact and it was unsafe to leave a message or send information. This was fed back to the referrer. </w:t>
                      </w:r>
                    </w:p>
                  </w:txbxContent>
                </v:textbox>
              </v:roundrect>
            </w:pict>
          </mc:Fallback>
        </mc:AlternateContent>
      </w:r>
    </w:p>
    <w:p w:rsidR="00835DAA" w:rsidRPr="006668A0" w:rsidRDefault="001664ED" w:rsidP="00835DAA">
      <w:r w:rsidRPr="003F5034">
        <w:rPr>
          <w:rFonts w:eastAsiaTheme="minorEastAsia"/>
          <w:noProof/>
          <w:lang w:eastAsia="en-GB"/>
        </w:rPr>
        <mc:AlternateContent>
          <mc:Choice Requires="wps">
            <w:drawing>
              <wp:anchor distT="0" distB="0" distL="114300" distR="114300" simplePos="0" relativeHeight="251658752" behindDoc="0" locked="0" layoutInCell="1" allowOverlap="1" wp14:anchorId="61F92F95" wp14:editId="2FA34AB6">
                <wp:simplePos x="0" y="0"/>
                <wp:positionH relativeFrom="column">
                  <wp:posOffset>-296697</wp:posOffset>
                </wp:positionH>
                <wp:positionV relativeFrom="paragraph">
                  <wp:posOffset>5691278</wp:posOffset>
                </wp:positionV>
                <wp:extent cx="3357349" cy="2006221"/>
                <wp:effectExtent l="0" t="0" r="14605" b="13335"/>
                <wp:wrapNone/>
                <wp:docPr id="75" name="Text Box 75"/>
                <wp:cNvGraphicFramePr/>
                <a:graphic xmlns:a="http://schemas.openxmlformats.org/drawingml/2006/main">
                  <a:graphicData uri="http://schemas.microsoft.com/office/word/2010/wordprocessingShape">
                    <wps:wsp>
                      <wps:cNvSpPr txBox="1"/>
                      <wps:spPr>
                        <a:xfrm>
                          <a:off x="0" y="0"/>
                          <a:ext cx="3357349" cy="20062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3F5034" w:rsidRDefault="00DB6053" w:rsidP="008A0B1E">
                            <w:pPr>
                              <w:rPr>
                                <w:sz w:val="18"/>
                                <w:szCs w:val="20"/>
                              </w:rPr>
                            </w:pPr>
                            <w:r>
                              <w:rPr>
                                <w:sz w:val="24"/>
                                <w:szCs w:val="20"/>
                              </w:rPr>
                              <w:t xml:space="preserve">8,538 </w:t>
                            </w:r>
                            <w:r>
                              <w:rPr>
                                <w:sz w:val="18"/>
                                <w:szCs w:val="20"/>
                              </w:rPr>
                              <w:t xml:space="preserve">(66.6%) victims received a </w:t>
                            </w:r>
                            <w:r w:rsidRPr="00F10D12">
                              <w:rPr>
                                <w:b/>
                                <w:sz w:val="18"/>
                                <w:szCs w:val="20"/>
                              </w:rPr>
                              <w:t>“STANDARD”</w:t>
                            </w:r>
                            <w:r>
                              <w:rPr>
                                <w:sz w:val="18"/>
                                <w:szCs w:val="20"/>
                              </w:rPr>
                              <w:t xml:space="preserve"> </w:t>
                            </w:r>
                            <w:r w:rsidRPr="003F5034">
                              <w:rPr>
                                <w:sz w:val="18"/>
                                <w:szCs w:val="20"/>
                              </w:rPr>
                              <w:t>support service:</w:t>
                            </w:r>
                          </w:p>
                          <w:p w:rsidR="00DB6053" w:rsidRPr="003F5034" w:rsidRDefault="00DB6053" w:rsidP="00835DAA">
                            <w:pPr>
                              <w:pStyle w:val="ListParagraph"/>
                              <w:numPr>
                                <w:ilvl w:val="0"/>
                                <w:numId w:val="4"/>
                              </w:numPr>
                              <w:rPr>
                                <w:sz w:val="18"/>
                                <w:szCs w:val="20"/>
                              </w:rPr>
                            </w:pPr>
                            <w:r>
                              <w:rPr>
                                <w:b/>
                                <w:sz w:val="18"/>
                                <w:szCs w:val="20"/>
                              </w:rPr>
                              <w:t>4,600</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DB6053" w:rsidRPr="003F5034" w:rsidRDefault="00DB6053" w:rsidP="00835DAA">
                            <w:pPr>
                              <w:pStyle w:val="ListParagraph"/>
                              <w:numPr>
                                <w:ilvl w:val="0"/>
                                <w:numId w:val="4"/>
                              </w:numPr>
                              <w:rPr>
                                <w:sz w:val="18"/>
                                <w:szCs w:val="20"/>
                              </w:rPr>
                            </w:pPr>
                            <w:r>
                              <w:rPr>
                                <w:b/>
                                <w:sz w:val="18"/>
                                <w:szCs w:val="20"/>
                              </w:rPr>
                              <w:t xml:space="preserve">3,635 </w:t>
                            </w:r>
                            <w:r w:rsidRPr="003F5034">
                              <w:rPr>
                                <w:sz w:val="18"/>
                                <w:szCs w:val="20"/>
                              </w:rPr>
                              <w:t xml:space="preserve">victims did not respond to telephone contact but were sent support information by post </w:t>
                            </w:r>
                          </w:p>
                          <w:p w:rsidR="00DB6053" w:rsidRPr="003F5034" w:rsidRDefault="00DB6053" w:rsidP="00835DAA">
                            <w:pPr>
                              <w:pStyle w:val="ListParagraph"/>
                              <w:numPr>
                                <w:ilvl w:val="0"/>
                                <w:numId w:val="4"/>
                              </w:numPr>
                              <w:rPr>
                                <w:sz w:val="18"/>
                                <w:szCs w:val="20"/>
                              </w:rPr>
                            </w:pPr>
                            <w:r>
                              <w:rPr>
                                <w:b/>
                                <w:sz w:val="18"/>
                                <w:szCs w:val="20"/>
                              </w:rPr>
                              <w:t xml:space="preserve">303 </w:t>
                            </w:r>
                            <w:r w:rsidRPr="003F5034">
                              <w:rPr>
                                <w:sz w:val="18"/>
                                <w:szCs w:val="20"/>
                              </w:rPr>
                              <w:t>victims were given details of their local victim support service as they did not live in Leicester, Leicestershire or Rutland</w:t>
                            </w:r>
                          </w:p>
                          <w:p w:rsidR="00DB6053" w:rsidRPr="009D064F" w:rsidRDefault="00DB6053" w:rsidP="00835DAA">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92F95" id="Text Box 75" o:spid="_x0000_s1029" style="position:absolute;margin-left:-23.35pt;margin-top:448.15pt;width:264.35pt;height:1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" fillcolor="window" strokecolor="windowText" strokeweight="1pt">
                <v:stroke joinstyle="miter"/>
                <v:textbox>
                  <w:txbxContent>
                    <w:p w:rsidR="00DB6053" w:rsidRPr="003F5034" w:rsidRDefault="00DB6053" w:rsidP="008A0B1E">
                      <w:pPr>
                        <w:rPr>
                          <w:sz w:val="18"/>
                          <w:szCs w:val="20"/>
                        </w:rPr>
                      </w:pPr>
                      <w:r>
                        <w:rPr>
                          <w:sz w:val="24"/>
                          <w:szCs w:val="20"/>
                        </w:rPr>
                        <w:t xml:space="preserve">8,538 </w:t>
                      </w:r>
                      <w:r>
                        <w:rPr>
                          <w:sz w:val="18"/>
                          <w:szCs w:val="20"/>
                        </w:rPr>
                        <w:t xml:space="preserve">(66.6%) victims received a </w:t>
                      </w:r>
                      <w:r w:rsidRPr="00F10D12">
                        <w:rPr>
                          <w:b/>
                          <w:sz w:val="18"/>
                          <w:szCs w:val="20"/>
                        </w:rPr>
                        <w:t>“STANDARD”</w:t>
                      </w:r>
                      <w:r>
                        <w:rPr>
                          <w:sz w:val="18"/>
                          <w:szCs w:val="20"/>
                        </w:rPr>
                        <w:t xml:space="preserve"> </w:t>
                      </w:r>
                      <w:r w:rsidRPr="003F5034">
                        <w:rPr>
                          <w:sz w:val="18"/>
                          <w:szCs w:val="20"/>
                        </w:rPr>
                        <w:t>support service:</w:t>
                      </w:r>
                    </w:p>
                    <w:p w:rsidR="00DB6053" w:rsidRPr="003F5034" w:rsidRDefault="00DB6053" w:rsidP="00835DAA">
                      <w:pPr>
                        <w:pStyle w:val="ListParagraph"/>
                        <w:numPr>
                          <w:ilvl w:val="0"/>
                          <w:numId w:val="4"/>
                        </w:numPr>
                        <w:rPr>
                          <w:sz w:val="18"/>
                          <w:szCs w:val="20"/>
                        </w:rPr>
                      </w:pPr>
                      <w:r>
                        <w:rPr>
                          <w:b/>
                          <w:sz w:val="18"/>
                          <w:szCs w:val="20"/>
                        </w:rPr>
                        <w:t>4,600</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DB6053" w:rsidRPr="003F5034" w:rsidRDefault="00DB6053" w:rsidP="00835DAA">
                      <w:pPr>
                        <w:pStyle w:val="ListParagraph"/>
                        <w:numPr>
                          <w:ilvl w:val="0"/>
                          <w:numId w:val="4"/>
                        </w:numPr>
                        <w:rPr>
                          <w:sz w:val="18"/>
                          <w:szCs w:val="20"/>
                        </w:rPr>
                      </w:pPr>
                      <w:r>
                        <w:rPr>
                          <w:b/>
                          <w:sz w:val="18"/>
                          <w:szCs w:val="20"/>
                        </w:rPr>
                        <w:t xml:space="preserve">3,635 </w:t>
                      </w:r>
                      <w:r w:rsidRPr="003F5034">
                        <w:rPr>
                          <w:sz w:val="18"/>
                          <w:szCs w:val="20"/>
                        </w:rPr>
                        <w:t xml:space="preserve">victims did not respond to telephone contact but were sent support information by post </w:t>
                      </w:r>
                    </w:p>
                    <w:p w:rsidR="00DB6053" w:rsidRPr="003F5034" w:rsidRDefault="00DB6053" w:rsidP="00835DAA">
                      <w:pPr>
                        <w:pStyle w:val="ListParagraph"/>
                        <w:numPr>
                          <w:ilvl w:val="0"/>
                          <w:numId w:val="4"/>
                        </w:numPr>
                        <w:rPr>
                          <w:sz w:val="18"/>
                          <w:szCs w:val="20"/>
                        </w:rPr>
                      </w:pPr>
                      <w:r>
                        <w:rPr>
                          <w:b/>
                          <w:sz w:val="18"/>
                          <w:szCs w:val="20"/>
                        </w:rPr>
                        <w:t xml:space="preserve">303 </w:t>
                      </w:r>
                      <w:r w:rsidRPr="003F5034">
                        <w:rPr>
                          <w:sz w:val="18"/>
                          <w:szCs w:val="20"/>
                        </w:rPr>
                        <w:t>victims were given details of their local victim support service as they did not live in Leicester, Leicestershire or Rutland</w:t>
                      </w:r>
                    </w:p>
                    <w:p w:rsidR="00DB6053" w:rsidRPr="009D064F" w:rsidRDefault="00DB6053" w:rsidP="00835DAA">
                      <w:pPr>
                        <w:jc w:val="center"/>
                        <w:rPr>
                          <w:sz w:val="18"/>
                          <w:szCs w:val="20"/>
                        </w:rPr>
                      </w:pPr>
                    </w:p>
                  </w:txbxContent>
                </v:textbox>
              </v:roundrect>
            </w:pict>
          </mc:Fallback>
        </mc:AlternateContent>
      </w:r>
      <w:r w:rsidR="004C1F06" w:rsidRPr="003F5034">
        <w:rPr>
          <w:rFonts w:eastAsiaTheme="minorEastAsia"/>
          <w:noProof/>
          <w:lang w:eastAsia="en-GB"/>
        </w:rPr>
        <mc:AlternateContent>
          <mc:Choice Requires="wps">
            <w:drawing>
              <wp:anchor distT="0" distB="0" distL="114300" distR="114300" simplePos="0" relativeHeight="251636736" behindDoc="0" locked="0" layoutInCell="1" allowOverlap="1" wp14:anchorId="0E849FDF" wp14:editId="10F5EE4E">
                <wp:simplePos x="0" y="0"/>
                <wp:positionH relativeFrom="column">
                  <wp:posOffset>2850239</wp:posOffset>
                </wp:positionH>
                <wp:positionV relativeFrom="paragraph">
                  <wp:posOffset>1424305</wp:posOffset>
                </wp:positionV>
                <wp:extent cx="1397203" cy="621792"/>
                <wp:effectExtent l="0" t="0" r="12700" b="26035"/>
                <wp:wrapNone/>
                <wp:docPr id="6" name="Text Box 6"/>
                <wp:cNvGraphicFramePr/>
                <a:graphic xmlns:a="http://schemas.openxmlformats.org/drawingml/2006/main">
                  <a:graphicData uri="http://schemas.microsoft.com/office/word/2010/wordprocessingShape">
                    <wps:wsp>
                      <wps:cNvSpPr txBox="1"/>
                      <wps:spPr>
                        <a:xfrm>
                          <a:off x="0" y="0"/>
                          <a:ext cx="1397203" cy="62179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4C1F06" w:rsidRDefault="00DB6053" w:rsidP="00835DAA">
                            <w:pPr>
                              <w:jc w:val="center"/>
                              <w:rPr>
                                <w:sz w:val="16"/>
                                <w:szCs w:val="20"/>
                              </w:rPr>
                            </w:pPr>
                            <w:r w:rsidRPr="004C1F06">
                              <w:rPr>
                                <w:szCs w:val="20"/>
                              </w:rPr>
                              <w:t xml:space="preserve">316 </w:t>
                            </w:r>
                            <w:r w:rsidRPr="004C1F06">
                              <w:rPr>
                                <w:sz w:val="16"/>
                                <w:szCs w:val="20"/>
                              </w:rPr>
                              <w:t xml:space="preserve">(2.5%) cases were duplicates. These were 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9FDF" id="Text Box 6" o:spid="_x0000_s1030" style="position:absolute;margin-left:224.45pt;margin-top:112.15pt;width:110pt;height:4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" fillcolor="window" strokecolor="windowText" strokeweight="1pt">
                <v:stroke joinstyle="miter"/>
                <v:textbox>
                  <w:txbxContent>
                    <w:p w:rsidR="00DB6053" w:rsidRPr="004C1F06" w:rsidRDefault="00DB6053" w:rsidP="00835DAA">
                      <w:pPr>
                        <w:jc w:val="center"/>
                        <w:rPr>
                          <w:sz w:val="16"/>
                          <w:szCs w:val="20"/>
                        </w:rPr>
                      </w:pPr>
                      <w:r w:rsidRPr="004C1F06">
                        <w:rPr>
                          <w:szCs w:val="20"/>
                        </w:rPr>
                        <w:t xml:space="preserve">316 </w:t>
                      </w:r>
                      <w:r w:rsidRPr="004C1F06">
                        <w:rPr>
                          <w:sz w:val="16"/>
                          <w:szCs w:val="20"/>
                        </w:rPr>
                        <w:t xml:space="preserve">(2.5%) cases were duplicates. These were closed. </w:t>
                      </w:r>
                    </w:p>
                  </w:txbxContent>
                </v:textbox>
              </v:roundrect>
            </w:pict>
          </mc:Fallback>
        </mc:AlternateContent>
      </w:r>
      <w:r w:rsidR="004C1F06" w:rsidRPr="003F5034">
        <w:rPr>
          <w:rFonts w:eastAsiaTheme="minorEastAsia"/>
          <w:noProof/>
          <w:lang w:eastAsia="en-GB"/>
        </w:rPr>
        <mc:AlternateContent>
          <mc:Choice Requires="wps">
            <w:drawing>
              <wp:anchor distT="0" distB="0" distL="114300" distR="114300" simplePos="0" relativeHeight="251662336" behindDoc="0" locked="0" layoutInCell="1" allowOverlap="1" wp14:anchorId="41032D8B" wp14:editId="31F6F2F5">
                <wp:simplePos x="0" y="0"/>
                <wp:positionH relativeFrom="column">
                  <wp:posOffset>-277231</wp:posOffset>
                </wp:positionH>
                <wp:positionV relativeFrom="paragraph">
                  <wp:posOffset>915035</wp:posOffset>
                </wp:positionV>
                <wp:extent cx="1872615" cy="767715"/>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1872615" cy="7677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4C1F06" w:rsidRDefault="00DB6053" w:rsidP="00835DAA">
                            <w:pPr>
                              <w:jc w:val="center"/>
                              <w:rPr>
                                <w:sz w:val="14"/>
                                <w:szCs w:val="20"/>
                              </w:rPr>
                            </w:pPr>
                            <w:r w:rsidRPr="004C1F06">
                              <w:rPr>
                                <w:sz w:val="16"/>
                                <w:szCs w:val="20"/>
                              </w:rPr>
                              <w:t xml:space="preserve">We were unable to contact </w:t>
                            </w:r>
                            <w:r w:rsidRPr="004C1F06">
                              <w:rPr>
                                <w:szCs w:val="20"/>
                              </w:rPr>
                              <w:t xml:space="preserve">271 </w:t>
                            </w:r>
                            <w:r w:rsidRPr="004C1F06">
                              <w:rPr>
                                <w:sz w:val="16"/>
                                <w:szCs w:val="20"/>
                              </w:rPr>
                              <w:t>(2.1%) victims due to incorrect contact information.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32D8B" id="Text Box 5" o:spid="_x0000_s1031" style="position:absolute;margin-left:-21.85pt;margin-top:72.05pt;width:147.4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" fillcolor="window" strokecolor="windowText" strokeweight="1pt">
                <v:stroke joinstyle="miter"/>
                <v:textbox>
                  <w:txbxContent>
                    <w:p w:rsidR="00DB6053" w:rsidRPr="004C1F06" w:rsidRDefault="00DB6053" w:rsidP="00835DAA">
                      <w:pPr>
                        <w:jc w:val="center"/>
                        <w:rPr>
                          <w:sz w:val="14"/>
                          <w:szCs w:val="20"/>
                        </w:rPr>
                      </w:pPr>
                      <w:r w:rsidRPr="004C1F06">
                        <w:rPr>
                          <w:sz w:val="16"/>
                          <w:szCs w:val="20"/>
                        </w:rPr>
                        <w:t xml:space="preserve">We were unable to contact </w:t>
                      </w:r>
                      <w:r w:rsidRPr="004C1F06">
                        <w:rPr>
                          <w:szCs w:val="20"/>
                        </w:rPr>
                        <w:t xml:space="preserve">271 </w:t>
                      </w:r>
                      <w:r w:rsidRPr="004C1F06">
                        <w:rPr>
                          <w:sz w:val="16"/>
                          <w:szCs w:val="20"/>
                        </w:rPr>
                        <w:t>(2.1%) victims due to incorrect contact information. This was fed back to the referrer.</w:t>
                      </w:r>
                    </w:p>
                  </w:txbxContent>
                </v:textbox>
              </v:roundrect>
            </w:pict>
          </mc:Fallback>
        </mc:AlternateContent>
      </w:r>
      <w:r w:rsidR="004C1F06" w:rsidRPr="003F5034">
        <w:rPr>
          <w:rFonts w:eastAsiaTheme="minorEastAsia"/>
          <w:noProof/>
          <w:lang w:eastAsia="en-GB"/>
        </w:rPr>
        <mc:AlternateContent>
          <mc:Choice Requires="wps">
            <w:drawing>
              <wp:anchor distT="0" distB="0" distL="114300" distR="114300" simplePos="0" relativeHeight="251681792" behindDoc="0" locked="0" layoutInCell="1" allowOverlap="1" wp14:anchorId="3E05EDC9" wp14:editId="0480171C">
                <wp:simplePos x="0" y="0"/>
                <wp:positionH relativeFrom="column">
                  <wp:posOffset>-559171</wp:posOffset>
                </wp:positionH>
                <wp:positionV relativeFrom="paragraph">
                  <wp:posOffset>1742440</wp:posOffset>
                </wp:positionV>
                <wp:extent cx="1875282" cy="665684"/>
                <wp:effectExtent l="0" t="0" r="10795" b="20320"/>
                <wp:wrapNone/>
                <wp:docPr id="26" name="Text Box 26"/>
                <wp:cNvGraphicFramePr/>
                <a:graphic xmlns:a="http://schemas.openxmlformats.org/drawingml/2006/main">
                  <a:graphicData uri="http://schemas.microsoft.com/office/word/2010/wordprocessingShape">
                    <wps:wsp>
                      <wps:cNvSpPr txBox="1"/>
                      <wps:spPr>
                        <a:xfrm>
                          <a:off x="0" y="0"/>
                          <a:ext cx="1875282" cy="66568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FC1904" w:rsidRDefault="00DB6053" w:rsidP="00835DAA">
                            <w:pPr>
                              <w:jc w:val="center"/>
                              <w:rPr>
                                <w:sz w:val="16"/>
                                <w:szCs w:val="20"/>
                              </w:rPr>
                            </w:pPr>
                            <w:r>
                              <w:rPr>
                                <w:sz w:val="24"/>
                                <w:szCs w:val="20"/>
                              </w:rPr>
                              <w:t>725</w:t>
                            </w:r>
                            <w:r w:rsidRPr="00FC1904">
                              <w:rPr>
                                <w:sz w:val="24"/>
                                <w:szCs w:val="20"/>
                              </w:rPr>
                              <w:t xml:space="preserve"> </w:t>
                            </w:r>
                            <w:r>
                              <w:rPr>
                                <w:sz w:val="18"/>
                                <w:szCs w:val="20"/>
                              </w:rPr>
                              <w:t>(5.7</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5EDC9" id="Text Box 26" o:spid="_x0000_s1032" style="position:absolute;margin-left:-44.05pt;margin-top:137.2pt;width:147.65pt;height:5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" fillcolor="window" strokecolor="windowText" strokeweight="1pt">
                <v:stroke joinstyle="miter"/>
                <v:textbox>
                  <w:txbxContent>
                    <w:p w:rsidR="00DB6053" w:rsidRPr="00FC1904" w:rsidRDefault="00DB6053" w:rsidP="00835DAA">
                      <w:pPr>
                        <w:jc w:val="center"/>
                        <w:rPr>
                          <w:sz w:val="16"/>
                          <w:szCs w:val="20"/>
                        </w:rPr>
                      </w:pPr>
                      <w:r>
                        <w:rPr>
                          <w:sz w:val="24"/>
                          <w:szCs w:val="20"/>
                        </w:rPr>
                        <w:t>725</w:t>
                      </w:r>
                      <w:r w:rsidRPr="00FC1904">
                        <w:rPr>
                          <w:sz w:val="24"/>
                          <w:szCs w:val="20"/>
                        </w:rPr>
                        <w:t xml:space="preserve"> </w:t>
                      </w:r>
                      <w:r>
                        <w:rPr>
                          <w:sz w:val="18"/>
                          <w:szCs w:val="20"/>
                        </w:rPr>
                        <w:t>(5.7</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v:textbox>
              </v:roundrect>
            </w:pict>
          </mc:Fallback>
        </mc:AlternateContent>
      </w:r>
      <w:r w:rsidR="00BD6F70">
        <w:rPr>
          <w:noProof/>
          <w:lang w:eastAsia="en-GB"/>
        </w:rPr>
        <w:drawing>
          <wp:anchor distT="0" distB="0" distL="114300" distR="114300" simplePos="0" relativeHeight="251603968" behindDoc="1" locked="0" layoutInCell="1" allowOverlap="1" wp14:anchorId="6A1F3091" wp14:editId="49970857">
            <wp:simplePos x="0" y="0"/>
            <wp:positionH relativeFrom="margin">
              <wp:posOffset>66675</wp:posOffset>
            </wp:positionH>
            <wp:positionV relativeFrom="margin">
              <wp:posOffset>1668145</wp:posOffset>
            </wp:positionV>
            <wp:extent cx="6155690" cy="61874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502B5" w:rsidRPr="003C0063">
        <w:rPr>
          <w:rFonts w:eastAsiaTheme="minorEastAsia"/>
          <w:noProof/>
          <w:lang w:eastAsia="en-GB"/>
        </w:rPr>
        <mc:AlternateContent>
          <mc:Choice Requires="wps">
            <w:drawing>
              <wp:anchor distT="0" distB="0" distL="114300" distR="114300" simplePos="0" relativeHeight="251604992" behindDoc="0" locked="0" layoutInCell="1" allowOverlap="1" wp14:anchorId="50842E11" wp14:editId="79E81711">
                <wp:simplePos x="0" y="0"/>
                <wp:positionH relativeFrom="column">
                  <wp:posOffset>1722755</wp:posOffset>
                </wp:positionH>
                <wp:positionV relativeFrom="paragraph">
                  <wp:posOffset>2369820</wp:posOffset>
                </wp:positionV>
                <wp:extent cx="2804160" cy="2377440"/>
                <wp:effectExtent l="0" t="0" r="0" b="3810"/>
                <wp:wrapNone/>
                <wp:docPr id="73" name="Text Box 73"/>
                <wp:cNvGraphicFramePr/>
                <a:graphic xmlns:a="http://schemas.openxmlformats.org/drawingml/2006/main">
                  <a:graphicData uri="http://schemas.microsoft.com/office/word/2010/wordprocessingShape">
                    <wps:wsp>
                      <wps:cNvSpPr txBox="1"/>
                      <wps:spPr>
                        <a:xfrm>
                          <a:off x="0" y="0"/>
                          <a:ext cx="2804160" cy="2377440"/>
                        </a:xfrm>
                        <a:prstGeom prst="rect">
                          <a:avLst/>
                        </a:prstGeom>
                        <a:solidFill>
                          <a:sysClr val="window" lastClr="FFFFFF"/>
                        </a:solidFill>
                        <a:ln w="6350">
                          <a:noFill/>
                        </a:ln>
                        <a:effectLst/>
                      </wps:spPr>
                      <wps:txbx>
                        <w:txbxContent>
                          <w:p w:rsidR="00DB6053" w:rsidRPr="005D1A85" w:rsidRDefault="00DB6053" w:rsidP="0055672C">
                            <w:pPr>
                              <w:pStyle w:val="NoSpacing"/>
                              <w:jc w:val="center"/>
                              <w:rPr>
                                <w:b/>
                                <w:sz w:val="120"/>
                                <w:szCs w:val="120"/>
                              </w:rPr>
                            </w:pPr>
                            <w:r w:rsidRPr="005D1A85">
                              <w:rPr>
                                <w:b/>
                                <w:sz w:val="120"/>
                                <w:szCs w:val="120"/>
                              </w:rPr>
                              <w:t>12, 814</w:t>
                            </w:r>
                          </w:p>
                          <w:p w:rsidR="00DB6053" w:rsidRPr="0055672C" w:rsidRDefault="00DB6053" w:rsidP="0055672C">
                            <w:pPr>
                              <w:pStyle w:val="NoSpacing"/>
                              <w:jc w:val="center"/>
                              <w:rPr>
                                <w:sz w:val="36"/>
                                <w:szCs w:val="36"/>
                              </w:rPr>
                            </w:pPr>
                            <w:proofErr w:type="gramStart"/>
                            <w:r w:rsidRPr="0055672C">
                              <w:rPr>
                                <w:sz w:val="36"/>
                                <w:szCs w:val="36"/>
                              </w:rPr>
                              <w:t>cases</w:t>
                            </w:r>
                            <w:proofErr w:type="gramEnd"/>
                            <w:r w:rsidRPr="0055672C">
                              <w:rPr>
                                <w:sz w:val="36"/>
                                <w:szCs w:val="36"/>
                              </w:rPr>
                              <w:t xml:space="preserve"> were </w:t>
                            </w:r>
                            <w:r w:rsidRPr="0055672C">
                              <w:rPr>
                                <w:sz w:val="36"/>
                                <w:szCs w:val="36"/>
                                <w:u w:val="single"/>
                              </w:rPr>
                              <w:t>CLOSED</w:t>
                            </w:r>
                            <w:r w:rsidRPr="0055672C">
                              <w:rPr>
                                <w:sz w:val="36"/>
                                <w:szCs w:val="36"/>
                              </w:rPr>
                              <w:t xml:space="preserve"> between</w:t>
                            </w:r>
                          </w:p>
                          <w:p w:rsidR="00DB6053" w:rsidRPr="0055672C" w:rsidRDefault="00DB6053" w:rsidP="0055672C">
                            <w:pPr>
                              <w:pStyle w:val="NoSpacing"/>
                              <w:jc w:val="center"/>
                              <w:rPr>
                                <w:b/>
                                <w:sz w:val="48"/>
                                <w:szCs w:val="36"/>
                              </w:rPr>
                            </w:pPr>
                            <w:r w:rsidRPr="0055672C">
                              <w:rPr>
                                <w:b/>
                                <w:sz w:val="48"/>
                                <w:szCs w:val="36"/>
                              </w:rPr>
                              <w:t>October 2016 and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42E11" id="_x0000_t202" coordsize="21600,21600" o:spt="202" path="m,l,21600r21600,l21600,xe">
                <v:stroke joinstyle="miter"/>
                <v:path gradientshapeok="t" o:connecttype="rect"/>
              </v:shapetype>
              <v:shape id="Text Box 73" o:spid="_x0000_s1033" type="#_x0000_t202" style="position:absolute;margin-left:135.65pt;margin-top:186.6pt;width:220.8pt;height:18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" fillcolor="window" stroked="f" strokeweight=".5pt">
                <v:textbox>
                  <w:txbxContent>
                    <w:p w:rsidR="00DB6053" w:rsidRPr="005D1A85" w:rsidRDefault="00DB6053" w:rsidP="0055672C">
                      <w:pPr>
                        <w:pStyle w:val="NoSpacing"/>
                        <w:jc w:val="center"/>
                        <w:rPr>
                          <w:b/>
                          <w:sz w:val="120"/>
                          <w:szCs w:val="120"/>
                        </w:rPr>
                      </w:pPr>
                      <w:r w:rsidRPr="005D1A85">
                        <w:rPr>
                          <w:b/>
                          <w:sz w:val="120"/>
                          <w:szCs w:val="120"/>
                        </w:rPr>
                        <w:t>12, 814</w:t>
                      </w:r>
                    </w:p>
                    <w:p w:rsidR="00DB6053" w:rsidRPr="0055672C" w:rsidRDefault="00DB6053" w:rsidP="0055672C">
                      <w:pPr>
                        <w:pStyle w:val="NoSpacing"/>
                        <w:jc w:val="center"/>
                        <w:rPr>
                          <w:sz w:val="36"/>
                          <w:szCs w:val="36"/>
                        </w:rPr>
                      </w:pPr>
                      <w:proofErr w:type="gramStart"/>
                      <w:r w:rsidRPr="0055672C">
                        <w:rPr>
                          <w:sz w:val="36"/>
                          <w:szCs w:val="36"/>
                        </w:rPr>
                        <w:t>cases</w:t>
                      </w:r>
                      <w:proofErr w:type="gramEnd"/>
                      <w:r w:rsidRPr="0055672C">
                        <w:rPr>
                          <w:sz w:val="36"/>
                          <w:szCs w:val="36"/>
                        </w:rPr>
                        <w:t xml:space="preserve"> were </w:t>
                      </w:r>
                      <w:r w:rsidRPr="0055672C">
                        <w:rPr>
                          <w:sz w:val="36"/>
                          <w:szCs w:val="36"/>
                          <w:u w:val="single"/>
                        </w:rPr>
                        <w:t>CLOSED</w:t>
                      </w:r>
                      <w:r w:rsidRPr="0055672C">
                        <w:rPr>
                          <w:sz w:val="36"/>
                          <w:szCs w:val="36"/>
                        </w:rPr>
                        <w:t xml:space="preserve"> between</w:t>
                      </w:r>
                    </w:p>
                    <w:p w:rsidR="00DB6053" w:rsidRPr="0055672C" w:rsidRDefault="00DB6053" w:rsidP="0055672C">
                      <w:pPr>
                        <w:pStyle w:val="NoSpacing"/>
                        <w:jc w:val="center"/>
                        <w:rPr>
                          <w:b/>
                          <w:sz w:val="48"/>
                          <w:szCs w:val="36"/>
                        </w:rPr>
                      </w:pPr>
                      <w:r w:rsidRPr="0055672C">
                        <w:rPr>
                          <w:b/>
                          <w:sz w:val="48"/>
                          <w:szCs w:val="36"/>
                        </w:rPr>
                        <w:t>October 2016 and September 2017</w:t>
                      </w:r>
                    </w:p>
                  </w:txbxContent>
                </v:textbox>
              </v:shape>
            </w:pict>
          </mc:Fallback>
        </mc:AlternateContent>
      </w:r>
    </w:p>
    <w:p w:rsidR="00835DAA" w:rsidRPr="006668A0" w:rsidRDefault="003E4967" w:rsidP="00835DAA">
      <w:r w:rsidRPr="003F5034">
        <w:rPr>
          <w:rFonts w:eastAsiaTheme="minorEastAsia"/>
          <w:noProof/>
          <w:lang w:eastAsia="en-GB"/>
        </w:rPr>
        <mc:AlternateContent>
          <mc:Choice Requires="wps">
            <w:drawing>
              <wp:anchor distT="0" distB="0" distL="114300" distR="114300" simplePos="0" relativeHeight="251719680" behindDoc="0" locked="0" layoutInCell="1" allowOverlap="1" wp14:anchorId="3D31B244" wp14:editId="3690AB67">
                <wp:simplePos x="0" y="0"/>
                <wp:positionH relativeFrom="column">
                  <wp:posOffset>4123165</wp:posOffset>
                </wp:positionH>
                <wp:positionV relativeFrom="paragraph">
                  <wp:posOffset>6064194</wp:posOffset>
                </wp:positionV>
                <wp:extent cx="2084476" cy="972922"/>
                <wp:effectExtent l="0" t="0" r="11430" b="17780"/>
                <wp:wrapNone/>
                <wp:docPr id="23" name="Text Box 23"/>
                <wp:cNvGraphicFramePr/>
                <a:graphic xmlns:a="http://schemas.openxmlformats.org/drawingml/2006/main">
                  <a:graphicData uri="http://schemas.microsoft.com/office/word/2010/wordprocessingShape">
                    <wps:wsp>
                      <wps:cNvSpPr txBox="1"/>
                      <wps:spPr>
                        <a:xfrm>
                          <a:off x="0" y="0"/>
                          <a:ext cx="2084476" cy="97292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B6053" w:rsidRPr="00A37B13" w:rsidRDefault="00DB6053" w:rsidP="001664ED">
                            <w:pPr>
                              <w:jc w:val="center"/>
                              <w:rPr>
                                <w:b/>
                                <w:sz w:val="24"/>
                                <w:szCs w:val="24"/>
                              </w:rPr>
                            </w:pPr>
                            <w:r w:rsidRPr="00A37B13">
                              <w:rPr>
                                <w:b/>
                                <w:sz w:val="24"/>
                                <w:szCs w:val="24"/>
                                <w:u w:val="single"/>
                              </w:rPr>
                              <w:t>Note:</w:t>
                            </w:r>
                            <w:r>
                              <w:rPr>
                                <w:b/>
                                <w:sz w:val="24"/>
                                <w:szCs w:val="24"/>
                              </w:rPr>
                              <w:t xml:space="preserve"> 13,331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to Victim First between October 2016 and 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1B244" id="Text Box 23" o:spid="_x0000_s1034" style="position:absolute;margin-left:324.65pt;margin-top:477.5pt;width:164.15pt;height:7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" fillcolor="window" strokecolor="windowText" strokeweight="1pt">
                <v:stroke joinstyle="miter"/>
                <v:textbox>
                  <w:txbxContent>
                    <w:p w:rsidR="00DB6053" w:rsidRPr="00A37B13" w:rsidRDefault="00DB6053" w:rsidP="001664ED">
                      <w:pPr>
                        <w:jc w:val="center"/>
                        <w:rPr>
                          <w:b/>
                          <w:sz w:val="24"/>
                          <w:szCs w:val="24"/>
                        </w:rPr>
                      </w:pPr>
                      <w:r w:rsidRPr="00A37B13">
                        <w:rPr>
                          <w:b/>
                          <w:sz w:val="24"/>
                          <w:szCs w:val="24"/>
                          <w:u w:val="single"/>
                        </w:rPr>
                        <w:t>Note:</w:t>
                      </w:r>
                      <w:r>
                        <w:rPr>
                          <w:b/>
                          <w:sz w:val="24"/>
                          <w:szCs w:val="24"/>
                        </w:rPr>
                        <w:t xml:space="preserve"> 13,331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to Victim First between October 2016 and September 2017</w:t>
                      </w:r>
                    </w:p>
                  </w:txbxContent>
                </v:textbox>
              </v:roundrect>
            </w:pict>
          </mc:Fallback>
        </mc:AlternateContent>
      </w:r>
    </w:p>
    <w:p w:rsidR="00835DAA" w:rsidRPr="006668A0" w:rsidRDefault="00835DAA" w:rsidP="00835DAA"/>
    <w:p w:rsidR="00835DAA" w:rsidRDefault="00835DAA" w:rsidP="00835DAA">
      <w:pPr>
        <w:sectPr w:rsidR="00835DAA" w:rsidSect="0097260F">
          <w:headerReference w:type="default" r:id="rId10"/>
          <w:footerReference w:type="default" r:id="rId11"/>
          <w:pgSz w:w="11906" w:h="16838"/>
          <w:pgMar w:top="1276" w:right="849" w:bottom="993" w:left="1134" w:header="284" w:footer="401" w:gutter="0"/>
          <w:cols w:space="708"/>
          <w:docGrid w:linePitch="360"/>
        </w:sectPr>
      </w:pPr>
    </w:p>
    <w:p w:rsidR="006668A0" w:rsidRDefault="009669F6" w:rsidP="006668A0">
      <w:pPr>
        <w:pStyle w:val="Heading1"/>
      </w:pPr>
      <w:bookmarkStart w:id="5" w:name="_Toc500170252"/>
      <w:r>
        <w:lastRenderedPageBreak/>
        <w:t>3</w:t>
      </w:r>
      <w:r w:rsidR="001506F7">
        <w:t>. Referral</w:t>
      </w:r>
      <w:r w:rsidR="006668A0">
        <w:t xml:space="preserve"> Source</w:t>
      </w:r>
      <w:bookmarkEnd w:id="5"/>
      <w:r w:rsidR="006668A0">
        <w:t xml:space="preserve"> </w:t>
      </w:r>
    </w:p>
    <w:p w:rsidR="0077375E" w:rsidRDefault="006668A0" w:rsidP="006668A0">
      <w:r>
        <w:t xml:space="preserve">Referral Sources for Closed Cases </w:t>
      </w:r>
    </w:p>
    <w:p w:rsidR="006668A0" w:rsidRPr="0077375E" w:rsidRDefault="00A550D1" w:rsidP="0077375E">
      <w:r>
        <w:rPr>
          <w:noProof/>
          <w:lang w:eastAsia="en-GB"/>
        </w:rPr>
        <w:drawing>
          <wp:inline distT="0" distB="0" distL="0" distR="0" wp14:anchorId="580CAB90" wp14:editId="791E9D55">
            <wp:extent cx="9251950" cy="4934661"/>
            <wp:effectExtent l="0" t="0" r="6350" b="1841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68A0" w:rsidRDefault="006668A0" w:rsidP="006668A0">
      <w:pPr>
        <w:rPr>
          <w:color w:val="FF0000"/>
        </w:rPr>
      </w:pPr>
    </w:p>
    <w:p w:rsidR="00A550D1" w:rsidRPr="00E14A06" w:rsidRDefault="00A550D1" w:rsidP="006668A0">
      <w:pPr>
        <w:rPr>
          <w:color w:val="FF0000"/>
        </w:rPr>
      </w:pPr>
    </w:p>
    <w:p w:rsidR="00B2677E" w:rsidRPr="00A550D1" w:rsidRDefault="003729DC" w:rsidP="006668A0">
      <w:pPr>
        <w:rPr>
          <w:color w:val="FF0000"/>
        </w:rPr>
      </w:pPr>
      <w:r w:rsidRPr="00A02BB8">
        <w:rPr>
          <w:noProof/>
          <w:color w:val="000000" w:themeColor="text1"/>
          <w:lang w:eastAsia="en-GB"/>
        </w:rPr>
        <w:lastRenderedPageBreak/>
        <w:drawing>
          <wp:anchor distT="0" distB="0" distL="114300" distR="114300" simplePos="0" relativeHeight="251714560" behindDoc="1" locked="0" layoutInCell="1" allowOverlap="1" wp14:anchorId="1EB140B8" wp14:editId="110C832D">
            <wp:simplePos x="0" y="0"/>
            <wp:positionH relativeFrom="column">
              <wp:posOffset>25483</wp:posOffset>
            </wp:positionH>
            <wp:positionV relativeFrom="paragraph">
              <wp:posOffset>325755</wp:posOffset>
            </wp:positionV>
            <wp:extent cx="9630410" cy="5450205"/>
            <wp:effectExtent l="0" t="0" r="8890" b="17145"/>
            <wp:wrapTight wrapText="bothSides">
              <wp:wrapPolygon edited="0">
                <wp:start x="0" y="0"/>
                <wp:lineTo x="0" y="21592"/>
                <wp:lineTo x="21577" y="21592"/>
                <wp:lineTo x="21577"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D1147" w:rsidRPr="00A02BB8">
        <w:rPr>
          <w:color w:val="000000" w:themeColor="text1"/>
        </w:rPr>
        <w:t xml:space="preserve">Referral Source for Closed Cases that received Enhanced Support </w:t>
      </w:r>
    </w:p>
    <w:p w:rsidR="00E40D22" w:rsidRDefault="00E40D22" w:rsidP="006668A0">
      <w:pPr>
        <w:sectPr w:rsidR="00E40D22" w:rsidSect="00835DAA">
          <w:headerReference w:type="default" r:id="rId14"/>
          <w:footerReference w:type="default" r:id="rId15"/>
          <w:pgSz w:w="16838" w:h="11906" w:orient="landscape"/>
          <w:pgMar w:top="1134" w:right="1276" w:bottom="851" w:left="992" w:header="284" w:footer="403" w:gutter="0"/>
          <w:cols w:space="708"/>
          <w:docGrid w:linePitch="360"/>
        </w:sectPr>
      </w:pPr>
    </w:p>
    <w:p w:rsidR="006668A0" w:rsidRDefault="009669F6" w:rsidP="00B2677E">
      <w:pPr>
        <w:pStyle w:val="Heading1"/>
      </w:pPr>
      <w:bookmarkStart w:id="6" w:name="_Toc500170253"/>
      <w:r>
        <w:lastRenderedPageBreak/>
        <w:t>4</w:t>
      </w:r>
      <w:r w:rsidR="00B2677E">
        <w:t>. Crime Types</w:t>
      </w:r>
      <w:bookmarkEnd w:id="6"/>
      <w:r w:rsidR="00B2677E">
        <w:t xml:space="preserve"> </w:t>
      </w:r>
    </w:p>
    <w:p w:rsidR="00A379FB" w:rsidRPr="00A379FB" w:rsidRDefault="0086753E" w:rsidP="00B2677E">
      <w:pPr>
        <w:spacing w:after="160" w:line="259" w:lineRule="auto"/>
        <w:rPr>
          <w:rFonts w:eastAsiaTheme="minorEastAsia"/>
        </w:rPr>
      </w:pPr>
      <w:r>
        <w:rPr>
          <w:rFonts w:eastAsiaTheme="minorEastAsia"/>
        </w:rPr>
        <w:t>This table</w:t>
      </w:r>
      <w:r w:rsidR="00B2677E" w:rsidRPr="00B2677E">
        <w:rPr>
          <w:rFonts w:eastAsiaTheme="minorEastAsia"/>
        </w:rPr>
        <w:t xml:space="preserve"> shows a breakdown of the cases Vi</w:t>
      </w:r>
      <w:r w:rsidR="00AE1124">
        <w:rPr>
          <w:rFonts w:eastAsiaTheme="minorEastAsia"/>
        </w:rPr>
        <w:t>ctim First closed</w:t>
      </w:r>
      <w:r w:rsidR="003B35AD">
        <w:rPr>
          <w:rFonts w:eastAsiaTheme="minorEastAsia"/>
        </w:rPr>
        <w:t xml:space="preserve"> between September 2016 and </w:t>
      </w:r>
      <w:r w:rsidR="001614D4">
        <w:rPr>
          <w:rFonts w:eastAsiaTheme="minorEastAsia"/>
        </w:rPr>
        <w:t>October</w:t>
      </w:r>
      <w:r w:rsidR="00056C4C">
        <w:rPr>
          <w:rFonts w:eastAsiaTheme="minorEastAsia"/>
        </w:rPr>
        <w:t xml:space="preserve"> </w:t>
      </w:r>
      <w:r w:rsidR="00664CC0">
        <w:rPr>
          <w:rFonts w:eastAsiaTheme="minorEastAsia"/>
        </w:rPr>
        <w:t>2017</w:t>
      </w:r>
      <w:r w:rsidR="00B2677E" w:rsidRPr="00B2677E">
        <w:rPr>
          <w:rFonts w:eastAsiaTheme="minorEastAsia"/>
        </w:rPr>
        <w:t xml:space="preserve">, and how many </w:t>
      </w:r>
      <w:r>
        <w:rPr>
          <w:rFonts w:eastAsiaTheme="minorEastAsia"/>
        </w:rPr>
        <w:t>of these cases</w:t>
      </w:r>
      <w:r w:rsidR="00B2677E" w:rsidRPr="00B2677E">
        <w:rPr>
          <w:rFonts w:eastAsiaTheme="minorEastAsia"/>
        </w:rPr>
        <w:t xml:space="preserve"> received enhanced support</w:t>
      </w:r>
      <w:r>
        <w:rPr>
          <w:rFonts w:eastAsiaTheme="minorEastAsia"/>
        </w:rPr>
        <w:t xml:space="preserve">, classified by </w:t>
      </w:r>
      <w:r w:rsidR="00B2677E" w:rsidRPr="00B2677E">
        <w:rPr>
          <w:rFonts w:eastAsiaTheme="minorEastAsia"/>
        </w:rPr>
        <w:t>‘Occurrence Type’.</w:t>
      </w:r>
      <w:r w:rsidR="00AE1124">
        <w:rPr>
          <w:rFonts w:eastAsiaTheme="minorEastAsia"/>
        </w:rPr>
        <w:t xml:space="preserve"> </w:t>
      </w:r>
      <w:r w:rsidR="003B35AD">
        <w:rPr>
          <w:rFonts w:eastAsiaTheme="minorEastAsia"/>
        </w:rPr>
        <w:t xml:space="preserve">This table does not illustrate which occurrence types are included in each crime type. Please see monthly reports for this information. </w:t>
      </w:r>
    </w:p>
    <w:tbl>
      <w:tblPr>
        <w:tblStyle w:val="GridTable41"/>
        <w:tblW w:w="10137" w:type="dxa"/>
        <w:tblLook w:val="04A0" w:firstRow="1" w:lastRow="0" w:firstColumn="1" w:lastColumn="0" w:noHBand="0" w:noVBand="1"/>
      </w:tblPr>
      <w:tblGrid>
        <w:gridCol w:w="5677"/>
        <w:gridCol w:w="1668"/>
        <w:gridCol w:w="1389"/>
        <w:gridCol w:w="1403"/>
      </w:tblGrid>
      <w:tr w:rsidR="002A406D" w:rsidRPr="00B2677E" w:rsidTr="002A4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B2677E" w:rsidRDefault="002A406D" w:rsidP="00B2677E">
            <w:r w:rsidRPr="00B2677E">
              <w:t xml:space="preserve">Occurrence Type </w:t>
            </w:r>
          </w:p>
        </w:tc>
        <w:tc>
          <w:tcPr>
            <w:tcW w:w="1695" w:type="dxa"/>
          </w:tcPr>
          <w:p w:rsidR="002A406D" w:rsidRPr="00B2677E" w:rsidRDefault="002A406D" w:rsidP="00B2677E">
            <w:pPr>
              <w:cnfStyle w:val="100000000000" w:firstRow="1" w:lastRow="0" w:firstColumn="0" w:lastColumn="0" w:oddVBand="0" w:evenVBand="0" w:oddHBand="0" w:evenHBand="0" w:firstRowFirstColumn="0" w:firstRowLastColumn="0" w:lastRowFirstColumn="0" w:lastRowLastColumn="0"/>
            </w:pPr>
            <w:r w:rsidRPr="00B2677E">
              <w:t xml:space="preserve">Closed </w:t>
            </w:r>
          </w:p>
        </w:tc>
        <w:tc>
          <w:tcPr>
            <w:tcW w:w="1393" w:type="dxa"/>
          </w:tcPr>
          <w:p w:rsidR="002A406D" w:rsidRPr="00B2677E" w:rsidRDefault="002A406D" w:rsidP="00B2677E">
            <w:pPr>
              <w:cnfStyle w:val="100000000000" w:firstRow="1" w:lastRow="0" w:firstColumn="0" w:lastColumn="0" w:oddVBand="0" w:evenVBand="0" w:oddHBand="0" w:evenHBand="0" w:firstRowFirstColumn="0" w:firstRowLastColumn="0" w:lastRowFirstColumn="0" w:lastRowLastColumn="0"/>
            </w:pPr>
            <w:r w:rsidRPr="00B2677E">
              <w:t xml:space="preserve">Received Enhanced Support </w:t>
            </w:r>
          </w:p>
        </w:tc>
        <w:tc>
          <w:tcPr>
            <w:tcW w:w="1221" w:type="dxa"/>
          </w:tcPr>
          <w:p w:rsidR="002A406D" w:rsidRPr="00B2677E" w:rsidRDefault="002A406D" w:rsidP="00B2677E">
            <w:pPr>
              <w:cnfStyle w:val="100000000000" w:firstRow="1" w:lastRow="0" w:firstColumn="0" w:lastColumn="0" w:oddVBand="0" w:evenVBand="0" w:oddHBand="0" w:evenHBand="0" w:firstRowFirstColumn="0" w:firstRowLastColumn="0" w:lastRowFirstColumn="0" w:lastRowLastColumn="0"/>
            </w:pPr>
            <w:r>
              <w:t>Percentage</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CC570C" w:rsidRDefault="002A406D" w:rsidP="00144EDE">
            <w:pPr>
              <w:rPr>
                <w:b w:val="0"/>
              </w:rPr>
            </w:pPr>
            <w:r>
              <w:rPr>
                <w:b w:val="0"/>
              </w:rPr>
              <w:t xml:space="preserve">Action Fraud NFIB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505</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81</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16%</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B40FAE" w:rsidRDefault="002A406D" w:rsidP="00056C4C">
            <w:pPr>
              <w:rPr>
                <w:b w:val="0"/>
              </w:rPr>
            </w:pPr>
            <w:r>
              <w:rPr>
                <w:b w:val="0"/>
              </w:rPr>
              <w:t xml:space="preserve">Action Fraud – Officer Staff Generated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5</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40%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CC570C" w:rsidRDefault="002A406D" w:rsidP="00B40FAE">
            <w:pPr>
              <w:rPr>
                <w:b w:val="0"/>
              </w:rPr>
            </w:pPr>
            <w:r>
              <w:rPr>
                <w:b w:val="0"/>
              </w:rPr>
              <w:t xml:space="preserve">ASB Priority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175</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55</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31.4%</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CC570C" w:rsidRDefault="002A406D" w:rsidP="00B40FAE">
            <w:pPr>
              <w:rPr>
                <w:b w:val="0"/>
              </w:rPr>
            </w:pPr>
            <w:r>
              <w:rPr>
                <w:b w:val="0"/>
              </w:rPr>
              <w:t xml:space="preserve">Assault ABH </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3,642</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513</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14%</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CC570C" w:rsidRDefault="002A406D" w:rsidP="00B2677E">
            <w:pPr>
              <w:rPr>
                <w:b w:val="0"/>
              </w:rPr>
            </w:pPr>
            <w:r>
              <w:rPr>
                <w:b w:val="0"/>
              </w:rPr>
              <w:t xml:space="preserve">Assault GBH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 xml:space="preserve">323 </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69</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21.3%</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CC570C" w:rsidRDefault="002A406D" w:rsidP="00B2677E">
            <w:pPr>
              <w:rPr>
                <w:b w:val="0"/>
              </w:rPr>
            </w:pPr>
            <w:r>
              <w:rPr>
                <w:b w:val="0"/>
              </w:rPr>
              <w:t xml:space="preserve">Breach of Police </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3</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33.3%</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7124A1" w:rsidRDefault="002A406D" w:rsidP="00B2677E">
            <w:pPr>
              <w:rPr>
                <w:b w:val="0"/>
              </w:rPr>
            </w:pPr>
            <w:r>
              <w:rPr>
                <w:b w:val="0"/>
              </w:rPr>
              <w:t xml:space="preserve">Burglary Non Dwelling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278</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37</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13.3%</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CC570C" w:rsidRDefault="002A406D" w:rsidP="00B2677E">
            <w:pPr>
              <w:rPr>
                <w:b w:val="0"/>
              </w:rPr>
            </w:pPr>
            <w:r>
              <w:rPr>
                <w:b w:val="0"/>
              </w:rPr>
              <w:t xml:space="preserve">Burglary of Dwelling </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1,752</w:t>
            </w:r>
          </w:p>
        </w:tc>
        <w:tc>
          <w:tcPr>
            <w:tcW w:w="1393" w:type="dxa"/>
          </w:tcPr>
          <w:p w:rsidR="002A406D" w:rsidRPr="00B2677E" w:rsidRDefault="002A406D" w:rsidP="00237CCC">
            <w:pPr>
              <w:jc w:val="center"/>
              <w:cnfStyle w:val="000000000000" w:firstRow="0" w:lastRow="0" w:firstColumn="0" w:lastColumn="0" w:oddVBand="0" w:evenVBand="0" w:oddHBand="0" w:evenHBand="0" w:firstRowFirstColumn="0" w:firstRowLastColumn="0" w:lastRowFirstColumn="0" w:lastRowLastColumn="0"/>
            </w:pPr>
            <w:r>
              <w:t>324</w:t>
            </w:r>
          </w:p>
        </w:tc>
        <w:tc>
          <w:tcPr>
            <w:tcW w:w="1221" w:type="dxa"/>
          </w:tcPr>
          <w:p w:rsidR="002A406D" w:rsidRDefault="002A406D" w:rsidP="00237CCC">
            <w:pPr>
              <w:jc w:val="center"/>
              <w:cnfStyle w:val="000000000000" w:firstRow="0" w:lastRow="0" w:firstColumn="0" w:lastColumn="0" w:oddVBand="0" w:evenVBand="0" w:oddHBand="0" w:evenHBand="0" w:firstRowFirstColumn="0" w:firstRowLastColumn="0" w:lastRowFirstColumn="0" w:lastRowLastColumn="0"/>
            </w:pPr>
            <w:r>
              <w:t>18.5%</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7124A1" w:rsidRDefault="002A406D" w:rsidP="00B2677E">
            <w:pPr>
              <w:rPr>
                <w:b w:val="0"/>
              </w:rPr>
            </w:pPr>
            <w:r>
              <w:rPr>
                <w:b w:val="0"/>
              </w:rPr>
              <w:t xml:space="preserve">Court Order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7</w:t>
            </w:r>
          </w:p>
        </w:tc>
        <w:tc>
          <w:tcPr>
            <w:tcW w:w="1393" w:type="dxa"/>
          </w:tcPr>
          <w:p w:rsidR="002A406D" w:rsidRDefault="002A406D" w:rsidP="00237CCC">
            <w:pPr>
              <w:jc w:val="center"/>
              <w:cnfStyle w:val="000000100000" w:firstRow="0" w:lastRow="0" w:firstColumn="0" w:lastColumn="0" w:oddVBand="0" w:evenVBand="0" w:oddHBand="1" w:evenHBand="0" w:firstRowFirstColumn="0" w:firstRowLastColumn="0" w:lastRowFirstColumn="0" w:lastRowLastColumn="0"/>
            </w:pPr>
            <w:r>
              <w:t>3</w:t>
            </w:r>
          </w:p>
        </w:tc>
        <w:tc>
          <w:tcPr>
            <w:tcW w:w="1221" w:type="dxa"/>
          </w:tcPr>
          <w:p w:rsidR="002A406D" w:rsidRDefault="002A406D" w:rsidP="00237CCC">
            <w:pPr>
              <w:jc w:val="center"/>
              <w:cnfStyle w:val="000000100000" w:firstRow="0" w:lastRow="0" w:firstColumn="0" w:lastColumn="0" w:oddVBand="0" w:evenVBand="0" w:oddHBand="1" w:evenHBand="0" w:firstRowFirstColumn="0" w:firstRowLastColumn="0" w:lastRowFirstColumn="0" w:lastRowLastColumn="0"/>
            </w:pPr>
            <w:r>
              <w:t>43%</w:t>
            </w:r>
          </w:p>
        </w:tc>
      </w:tr>
      <w:tr w:rsidR="002A406D" w:rsidRPr="00B2677E" w:rsidTr="002A406D">
        <w:trPr>
          <w:trHeight w:val="254"/>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6D7013">
            <w:pPr>
              <w:rPr>
                <w:b w:val="0"/>
              </w:rPr>
            </w:pPr>
            <w:r>
              <w:rPr>
                <w:b w:val="0"/>
              </w:rPr>
              <w:t xml:space="preserve">Court Warrant </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221" w:type="dxa"/>
          </w:tcPr>
          <w:p w:rsidR="002A406D" w:rsidRDefault="002A406D" w:rsidP="002A406D">
            <w:pPr>
              <w:spacing w:line="360" w:lineRule="auto"/>
              <w:jc w:val="center"/>
              <w:cnfStyle w:val="000000000000" w:firstRow="0" w:lastRow="0" w:firstColumn="0" w:lastColumn="0" w:oddVBand="0" w:evenVBand="0" w:oddHBand="0" w:evenHBand="0" w:firstRowFirstColumn="0" w:firstRowLastColumn="0" w:lastRowFirstColumn="0" w:lastRowLastColumn="0"/>
            </w:pPr>
            <w:r>
              <w:t>100%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B2677E">
            <w:pPr>
              <w:rPr>
                <w:b w:val="0"/>
              </w:rPr>
            </w:pPr>
            <w:r>
              <w:rPr>
                <w:b w:val="0"/>
              </w:rPr>
              <w:t xml:space="preserve">Crime Miscellaneous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145</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39</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26.9%</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B2677E">
            <w:pPr>
              <w:rPr>
                <w:b w:val="0"/>
              </w:rPr>
            </w:pPr>
            <w:r>
              <w:rPr>
                <w:b w:val="0"/>
              </w:rPr>
              <w:t>Criminal Damage</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1,269</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208</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16.4%</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1B6552">
            <w:pPr>
              <w:rPr>
                <w:b w:val="0"/>
              </w:rPr>
            </w:pPr>
            <w:r>
              <w:rPr>
                <w:b w:val="0"/>
              </w:rPr>
              <w:t xml:space="preserve">Criminal Damage – Arson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54</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7</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13%</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B2677E">
            <w:pPr>
              <w:rPr>
                <w:b w:val="0"/>
              </w:rPr>
            </w:pPr>
            <w:r>
              <w:rPr>
                <w:b w:val="0"/>
              </w:rPr>
              <w:t xml:space="preserve">Custody Adverse Incident </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 xml:space="preserve">0 </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B2677E">
            <w:pPr>
              <w:rPr>
                <w:b w:val="0"/>
              </w:rPr>
            </w:pPr>
            <w:r>
              <w:rPr>
                <w:b w:val="0"/>
              </w:rPr>
              <w:t>Domestic Incident</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153</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56</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36.6%</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584044" w:rsidRDefault="002A406D" w:rsidP="00B2677E">
            <w:pPr>
              <w:rPr>
                <w:b w:val="0"/>
              </w:rPr>
            </w:pPr>
            <w:r>
              <w:rPr>
                <w:b w:val="0"/>
              </w:rPr>
              <w:t>Drugs Supply and Production</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5</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40%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1B6552">
            <w:pPr>
              <w:rPr>
                <w:b w:val="0"/>
              </w:rPr>
            </w:pPr>
            <w:r>
              <w:rPr>
                <w:b w:val="0"/>
              </w:rPr>
              <w:t xml:space="preserve">First Harassment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4</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25%</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1B6552">
            <w:pPr>
              <w:rPr>
                <w:b w:val="0"/>
              </w:rPr>
            </w:pPr>
            <w:r>
              <w:rPr>
                <w:b w:val="0"/>
              </w:rPr>
              <w:t>Firearms Possession</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3</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2D297A">
            <w:pPr>
              <w:rPr>
                <w:b w:val="0"/>
              </w:rPr>
            </w:pPr>
            <w:r>
              <w:rPr>
                <w:b w:val="0"/>
              </w:rPr>
              <w:t xml:space="preserve">Fraud </w:t>
            </w:r>
          </w:p>
        </w:tc>
        <w:tc>
          <w:tcPr>
            <w:tcW w:w="1695"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24</w:t>
            </w:r>
          </w:p>
        </w:tc>
        <w:tc>
          <w:tcPr>
            <w:tcW w:w="1393" w:type="dxa"/>
          </w:tcPr>
          <w:p w:rsidR="002A406D" w:rsidRPr="00B2677E" w:rsidRDefault="002A406D" w:rsidP="009F4496">
            <w:pPr>
              <w:jc w:val="center"/>
              <w:cnfStyle w:val="000000100000" w:firstRow="0" w:lastRow="0" w:firstColumn="0" w:lastColumn="0" w:oddVBand="0" w:evenVBand="0" w:oddHBand="1" w:evenHBand="0" w:firstRowFirstColumn="0" w:firstRowLastColumn="0" w:lastRowFirstColumn="0" w:lastRowLastColumn="0"/>
            </w:pPr>
            <w:r>
              <w:t>4</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16.6%</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B2677E">
            <w:pPr>
              <w:rPr>
                <w:b w:val="0"/>
              </w:rPr>
            </w:pPr>
            <w:r>
              <w:rPr>
                <w:b w:val="0"/>
              </w:rPr>
              <w:t xml:space="preserve">Harassment </w:t>
            </w:r>
          </w:p>
        </w:tc>
        <w:tc>
          <w:tcPr>
            <w:tcW w:w="1695"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896</w:t>
            </w:r>
          </w:p>
        </w:tc>
        <w:tc>
          <w:tcPr>
            <w:tcW w:w="1393" w:type="dxa"/>
          </w:tcPr>
          <w:p w:rsidR="002A406D" w:rsidRPr="00B2677E" w:rsidRDefault="002A406D" w:rsidP="009F4496">
            <w:pPr>
              <w:jc w:val="center"/>
              <w:cnfStyle w:val="000000000000" w:firstRow="0" w:lastRow="0" w:firstColumn="0" w:lastColumn="0" w:oddVBand="0" w:evenVBand="0" w:oddHBand="0" w:evenHBand="0" w:firstRowFirstColumn="0" w:firstRowLastColumn="0" w:lastRowFirstColumn="0" w:lastRowLastColumn="0"/>
            </w:pPr>
            <w:r>
              <w:t>201</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22.4%</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2D297A">
            <w:pPr>
              <w:rPr>
                <w:b w:val="0"/>
              </w:rPr>
            </w:pPr>
            <w:r>
              <w:rPr>
                <w:b w:val="0"/>
              </w:rPr>
              <w:t>Hate Incident</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25</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12</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48%</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B2677E">
            <w:pPr>
              <w:rPr>
                <w:b w:val="0"/>
              </w:rPr>
            </w:pPr>
            <w:r>
              <w:rPr>
                <w:b w:val="0"/>
              </w:rPr>
              <w:t xml:space="preserve">Homicide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33.3%</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237CCC" w:rsidRDefault="002A406D" w:rsidP="002D297A">
            <w:pPr>
              <w:rPr>
                <w:b w:val="0"/>
              </w:rPr>
            </w:pPr>
            <w:r>
              <w:rPr>
                <w:b w:val="0"/>
              </w:rPr>
              <w:t xml:space="preserve">Non Recordable Miscellaneous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8</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5</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62.5%</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2D297A">
            <w:pPr>
              <w:rPr>
                <w:b w:val="0"/>
              </w:rPr>
            </w:pPr>
            <w:r>
              <w:rPr>
                <w:b w:val="0"/>
              </w:rPr>
              <w:t xml:space="preserve">Public Order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398</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60</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15%</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2D297A">
            <w:pPr>
              <w:rPr>
                <w:b w:val="0"/>
              </w:rPr>
            </w:pPr>
            <w:r>
              <w:rPr>
                <w:b w:val="0"/>
              </w:rPr>
              <w:t xml:space="preserve">Robbery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288</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39</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13.5%</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2D297A">
            <w:pPr>
              <w:rPr>
                <w:b w:val="0"/>
              </w:rPr>
            </w:pPr>
            <w:r>
              <w:rPr>
                <w:b w:val="0"/>
              </w:rPr>
              <w:t xml:space="preserve">RTC Serious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5</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2D297A">
            <w:pPr>
              <w:rPr>
                <w:b w:val="0"/>
              </w:rPr>
            </w:pPr>
            <w:r>
              <w:rPr>
                <w:b w:val="0"/>
              </w:rPr>
              <w:t xml:space="preserve">RTC Slight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154</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6</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3.9%</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2D297A">
            <w:pPr>
              <w:rPr>
                <w:b w:val="0"/>
              </w:rPr>
            </w:pPr>
            <w:r>
              <w:rPr>
                <w:b w:val="0"/>
              </w:rPr>
              <w:t xml:space="preserve">RTC Life Changing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2D297A">
            <w:pPr>
              <w:rPr>
                <w:b w:val="0"/>
              </w:rPr>
            </w:pPr>
            <w:r>
              <w:rPr>
                <w:b w:val="0"/>
              </w:rPr>
              <w:t xml:space="preserve">Safeguarding – Adult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3</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Safeguarding – Child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Sexual Offence Other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430</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92</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21.4%</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Sexual Offence – Rape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333</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12</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3.6%</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Sudden Death – Adult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100%</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Theft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942</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120</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12.7%</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Threats to Life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68</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16</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23.5%</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Default="002A406D" w:rsidP="002D297A">
            <w:pPr>
              <w:rPr>
                <w:b w:val="0"/>
              </w:rPr>
            </w:pPr>
            <w:r>
              <w:rPr>
                <w:b w:val="0"/>
              </w:rPr>
              <w:t xml:space="preserve">Traffic Offences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4</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B2677E">
            <w:pPr>
              <w:rPr>
                <w:b w:val="0"/>
              </w:rPr>
            </w:pPr>
            <w:r>
              <w:rPr>
                <w:b w:val="0"/>
              </w:rPr>
              <w:t xml:space="preserve">Vehicle Crime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684</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54</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7.9%</w:t>
            </w:r>
          </w:p>
        </w:tc>
      </w:tr>
      <w:tr w:rsidR="002A406D" w:rsidRPr="00B2677E" w:rsidTr="002A406D">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B2677E">
            <w:pPr>
              <w:rPr>
                <w:b w:val="0"/>
              </w:rPr>
            </w:pPr>
            <w:r>
              <w:rPr>
                <w:b w:val="0"/>
              </w:rPr>
              <w:t xml:space="preserve">Weapons Possession </w:t>
            </w:r>
          </w:p>
        </w:tc>
        <w:tc>
          <w:tcPr>
            <w:tcW w:w="1695"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27</w:t>
            </w:r>
          </w:p>
        </w:tc>
        <w:tc>
          <w:tcPr>
            <w:tcW w:w="1393"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6</w:t>
            </w:r>
          </w:p>
        </w:tc>
        <w:tc>
          <w:tcPr>
            <w:tcW w:w="1221" w:type="dxa"/>
          </w:tcPr>
          <w:p w:rsidR="002A406D" w:rsidRDefault="002A406D" w:rsidP="009F4496">
            <w:pPr>
              <w:jc w:val="center"/>
              <w:cnfStyle w:val="000000000000" w:firstRow="0" w:lastRow="0" w:firstColumn="0" w:lastColumn="0" w:oddVBand="0" w:evenVBand="0" w:oddHBand="0" w:evenHBand="0" w:firstRowFirstColumn="0" w:firstRowLastColumn="0" w:lastRowFirstColumn="0" w:lastRowLastColumn="0"/>
            </w:pPr>
            <w:r>
              <w:t>22.2%</w:t>
            </w:r>
          </w:p>
        </w:tc>
      </w:tr>
      <w:tr w:rsidR="002A406D" w:rsidRPr="00B2677E" w:rsidTr="002A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8" w:type="dxa"/>
          </w:tcPr>
          <w:p w:rsidR="002A406D" w:rsidRPr="00A71D5B" w:rsidRDefault="002A406D" w:rsidP="00B2677E">
            <w:pPr>
              <w:rPr>
                <w:b w:val="0"/>
              </w:rPr>
            </w:pPr>
            <w:r>
              <w:rPr>
                <w:b w:val="0"/>
              </w:rPr>
              <w:t xml:space="preserve">Unknown </w:t>
            </w:r>
          </w:p>
        </w:tc>
        <w:tc>
          <w:tcPr>
            <w:tcW w:w="1695"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191</w:t>
            </w:r>
          </w:p>
        </w:tc>
        <w:tc>
          <w:tcPr>
            <w:tcW w:w="1393"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21</w:t>
            </w:r>
          </w:p>
        </w:tc>
        <w:tc>
          <w:tcPr>
            <w:tcW w:w="1221" w:type="dxa"/>
          </w:tcPr>
          <w:p w:rsidR="002A406D" w:rsidRDefault="002A406D" w:rsidP="009F4496">
            <w:pPr>
              <w:jc w:val="center"/>
              <w:cnfStyle w:val="000000100000" w:firstRow="0" w:lastRow="0" w:firstColumn="0" w:lastColumn="0" w:oddVBand="0" w:evenVBand="0" w:oddHBand="1" w:evenHBand="0" w:firstRowFirstColumn="0" w:firstRowLastColumn="0" w:lastRowFirstColumn="0" w:lastRowLastColumn="0"/>
            </w:pPr>
            <w:r>
              <w:t>10.1%</w:t>
            </w:r>
          </w:p>
        </w:tc>
      </w:tr>
    </w:tbl>
    <w:p w:rsidR="00B2677E" w:rsidRPr="00B2677E" w:rsidRDefault="00B2677E" w:rsidP="00B2677E"/>
    <w:p w:rsidR="006668A0" w:rsidRPr="006668A0" w:rsidRDefault="006668A0" w:rsidP="006668A0"/>
    <w:p w:rsidR="006668A0" w:rsidRDefault="006668A0" w:rsidP="006668A0"/>
    <w:p w:rsidR="0055636A" w:rsidRDefault="0055636A" w:rsidP="006668A0">
      <w:pPr>
        <w:sectPr w:rsidR="0055636A" w:rsidSect="00835DAA">
          <w:pgSz w:w="11906" w:h="16838"/>
          <w:pgMar w:top="1276" w:right="851" w:bottom="992" w:left="1134" w:header="284" w:footer="403" w:gutter="0"/>
          <w:cols w:space="708"/>
          <w:docGrid w:linePitch="360"/>
        </w:sectPr>
      </w:pPr>
    </w:p>
    <w:p w:rsidR="0063236D" w:rsidRPr="0055636A" w:rsidRDefault="00102488" w:rsidP="0055636A">
      <w:pPr>
        <w:tabs>
          <w:tab w:val="left" w:pos="1177"/>
        </w:tabs>
        <w:sectPr w:rsidR="0063236D" w:rsidRPr="0055636A" w:rsidSect="00835DAA">
          <w:pgSz w:w="16838" w:h="11906" w:orient="landscape"/>
          <w:pgMar w:top="1134" w:right="1276" w:bottom="851" w:left="992" w:header="284" w:footer="403" w:gutter="0"/>
          <w:cols w:space="708"/>
          <w:docGrid w:linePitch="360"/>
        </w:sectPr>
      </w:pPr>
      <w:r>
        <w:rPr>
          <w:noProof/>
          <w:lang w:eastAsia="en-GB"/>
        </w:rPr>
        <w:lastRenderedPageBreak/>
        <w:drawing>
          <wp:inline distT="0" distB="0" distL="0" distR="0">
            <wp:extent cx="9626803" cy="6130137"/>
            <wp:effectExtent l="0" t="0" r="1270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236D" w:rsidRDefault="009669F6" w:rsidP="00514819">
      <w:pPr>
        <w:pStyle w:val="Heading1"/>
      </w:pPr>
      <w:bookmarkStart w:id="7" w:name="_Toc500170254"/>
      <w:r>
        <w:lastRenderedPageBreak/>
        <w:t>5</w:t>
      </w:r>
      <w:r w:rsidR="00514819">
        <w:t>. How many victims reported to the police prior to, and following the support they received from Victim First?</w:t>
      </w:r>
      <w:bookmarkEnd w:id="7"/>
      <w:r w:rsidR="00514819">
        <w:t xml:space="preserve"> </w:t>
      </w:r>
    </w:p>
    <w:p w:rsidR="00514819" w:rsidRDefault="00514819" w:rsidP="00514819">
      <w:r>
        <w:t xml:space="preserve">This chart shows </w:t>
      </w:r>
      <w:r w:rsidR="0086753E">
        <w:t>the number of</w:t>
      </w:r>
      <w:r>
        <w:t xml:space="preserve"> victims from se</w:t>
      </w:r>
      <w:r w:rsidR="00B35B12">
        <w:t xml:space="preserve">lf-referrals that were closed </w:t>
      </w:r>
      <w:r w:rsidR="00C45222">
        <w:t>between September 2016 and</w:t>
      </w:r>
      <w:r w:rsidR="00630FE2">
        <w:t xml:space="preserve"> </w:t>
      </w:r>
      <w:r w:rsidR="001E4AEE">
        <w:t>October</w:t>
      </w:r>
      <w:r w:rsidR="00630FE2">
        <w:t xml:space="preserve"> 2017</w:t>
      </w:r>
      <w:r>
        <w:t xml:space="preserve"> </w:t>
      </w:r>
      <w:r w:rsidR="0086753E">
        <w:t>who had</w:t>
      </w:r>
      <w:r>
        <w:t xml:space="preserve"> reported to the police prior to receiving support from Victim First. </w:t>
      </w:r>
    </w:p>
    <w:p w:rsidR="00514819" w:rsidRDefault="00514819" w:rsidP="00514819">
      <w:r>
        <w:rPr>
          <w:rFonts w:eastAsia="Calibri"/>
          <w:b/>
          <w:bCs/>
          <w:noProof/>
          <w:lang w:eastAsia="en-GB"/>
        </w:rPr>
        <w:drawing>
          <wp:inline distT="0" distB="0" distL="0" distR="0" wp14:anchorId="40A6602D" wp14:editId="49C481ED">
            <wp:extent cx="6064300" cy="3306445"/>
            <wp:effectExtent l="0" t="0" r="12700"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4819" w:rsidRDefault="00514819" w:rsidP="00514819"/>
    <w:p w:rsidR="00514819" w:rsidRPr="00312D89" w:rsidRDefault="0086753E" w:rsidP="00514819">
      <w:r w:rsidRPr="00312D89">
        <w:t xml:space="preserve">This chart shows the number of </w:t>
      </w:r>
      <w:r w:rsidR="00514819" w:rsidRPr="00312D89">
        <w:t>victi</w:t>
      </w:r>
      <w:r w:rsidR="00B35B12" w:rsidRPr="00312D89">
        <w:t xml:space="preserve">ms from self-referrals closed </w:t>
      </w:r>
      <w:r w:rsidR="00C45222">
        <w:t>between September 2016 and</w:t>
      </w:r>
      <w:r w:rsidR="00630FE2" w:rsidRPr="00312D89">
        <w:t xml:space="preserve"> </w:t>
      </w:r>
      <w:r w:rsidR="001E4AEE">
        <w:t>October</w:t>
      </w:r>
      <w:r w:rsidR="00630FE2" w:rsidRPr="00312D89">
        <w:t xml:space="preserve"> 2017</w:t>
      </w:r>
      <w:r w:rsidR="00514819" w:rsidRPr="00312D89">
        <w:t xml:space="preserve"> </w:t>
      </w:r>
      <w:r w:rsidRPr="00312D89">
        <w:t xml:space="preserve">who </w:t>
      </w:r>
      <w:r w:rsidR="00514819" w:rsidRPr="00312D89">
        <w:t>reported to the police as a result of the support received from Victim First.</w:t>
      </w:r>
    </w:p>
    <w:p w:rsidR="00514819" w:rsidRDefault="00514819" w:rsidP="00514819">
      <w:r>
        <w:rPr>
          <w:noProof/>
          <w:lang w:eastAsia="en-GB"/>
        </w:rPr>
        <w:drawing>
          <wp:inline distT="0" distB="0" distL="0" distR="0" wp14:anchorId="12B94A4D" wp14:editId="69642058">
            <wp:extent cx="6064250" cy="3621024"/>
            <wp:effectExtent l="0" t="0" r="1270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4819" w:rsidRDefault="009669F6" w:rsidP="00514819">
      <w:pPr>
        <w:pStyle w:val="Heading1"/>
      </w:pPr>
      <w:bookmarkStart w:id="8" w:name="_Toc500170255"/>
      <w:r>
        <w:lastRenderedPageBreak/>
        <w:t>6</w:t>
      </w:r>
      <w:r w:rsidR="00514819">
        <w:t>. Repeat Victims</w:t>
      </w:r>
      <w:bookmarkEnd w:id="8"/>
      <w:r w:rsidR="00514819">
        <w:t xml:space="preserve"> </w:t>
      </w:r>
    </w:p>
    <w:p w:rsidR="00514819" w:rsidRDefault="00514819" w:rsidP="00514819">
      <w:r>
        <w:t xml:space="preserve">This chart shows </w:t>
      </w:r>
      <w:r w:rsidR="0086753E">
        <w:t>the number of</w:t>
      </w:r>
      <w:r>
        <w:t xml:space="preserve"> victims, from t</w:t>
      </w:r>
      <w:r w:rsidR="008A5555">
        <w:t>he cases Victim First</w:t>
      </w:r>
      <w:r w:rsidR="0086753E">
        <w:t xml:space="preserve"> closed</w:t>
      </w:r>
      <w:r w:rsidR="00C45222">
        <w:t xml:space="preserve"> between September 2016 and </w:t>
      </w:r>
      <w:r w:rsidR="00217CA5">
        <w:t>October</w:t>
      </w:r>
      <w:r w:rsidR="0012714A">
        <w:t xml:space="preserve"> </w:t>
      </w:r>
      <w:r w:rsidR="00630FE2">
        <w:t>2017</w:t>
      </w:r>
      <w:r>
        <w:t xml:space="preserve">, </w:t>
      </w:r>
      <w:r w:rsidR="0086753E">
        <w:t xml:space="preserve">who </w:t>
      </w:r>
      <w:r>
        <w:t xml:space="preserve">were repeat victims of any other or the same crime. </w:t>
      </w:r>
    </w:p>
    <w:p w:rsidR="00514819" w:rsidRDefault="00514819" w:rsidP="00514819">
      <w:r>
        <w:rPr>
          <w:noProof/>
          <w:lang w:eastAsia="en-GB"/>
        </w:rPr>
        <w:drawing>
          <wp:inline distT="0" distB="0" distL="0" distR="0" wp14:anchorId="4139CEE6" wp14:editId="61C31BDA">
            <wp:extent cx="6159398" cy="3503981"/>
            <wp:effectExtent l="0" t="0" r="13335"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59EE" w:rsidRDefault="009669F6" w:rsidP="00FB59EE">
      <w:pPr>
        <w:pStyle w:val="Heading1"/>
      </w:pPr>
      <w:bookmarkStart w:id="9" w:name="_Toc500170256"/>
      <w:r>
        <w:t>7</w:t>
      </w:r>
      <w:r w:rsidR="00FB59EE">
        <w:t>. How many victims have had prior support from Victim First?</w:t>
      </w:r>
      <w:bookmarkEnd w:id="9"/>
      <w:r w:rsidR="00FB59EE">
        <w:t xml:space="preserve"> </w:t>
      </w:r>
    </w:p>
    <w:p w:rsidR="00FB59EE" w:rsidRDefault="00FB59EE" w:rsidP="00FB59EE">
      <w:r>
        <w:t>This chart shows how many case</w:t>
      </w:r>
      <w:r w:rsidR="008A5555">
        <w:t xml:space="preserve">s, of those which were closed </w:t>
      </w:r>
      <w:r w:rsidR="00C45222">
        <w:t xml:space="preserve">between September 2016 and </w:t>
      </w:r>
      <w:r w:rsidR="00217CA5">
        <w:t>October</w:t>
      </w:r>
      <w:r w:rsidR="00630FE2">
        <w:t xml:space="preserve"> 2017</w:t>
      </w:r>
      <w:r>
        <w:t xml:space="preserve">, had received previous support from Victim First. </w:t>
      </w:r>
    </w:p>
    <w:p w:rsidR="005B6D6E" w:rsidRPr="005B6D6E" w:rsidRDefault="00FB59EE" w:rsidP="005B6D6E">
      <w:r>
        <w:rPr>
          <w:noProof/>
          <w:lang w:eastAsia="en-GB"/>
        </w:rPr>
        <w:drawing>
          <wp:inline distT="0" distB="0" distL="0" distR="0" wp14:anchorId="15107348" wp14:editId="33235903">
            <wp:extent cx="6158865" cy="3833164"/>
            <wp:effectExtent l="0" t="0" r="13335"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59EE" w:rsidRDefault="00FB59EE" w:rsidP="00FB59EE">
      <w:pPr>
        <w:pStyle w:val="Heading1"/>
      </w:pPr>
      <w:bookmarkStart w:id="10" w:name="_Toc500170257"/>
      <w:r>
        <w:lastRenderedPageBreak/>
        <w:t>8. Demographics</w:t>
      </w:r>
      <w:bookmarkEnd w:id="10"/>
      <w:r>
        <w:t xml:space="preserve"> </w:t>
      </w:r>
    </w:p>
    <w:p w:rsidR="00FB59EE" w:rsidRDefault="001D2E43" w:rsidP="00FB59EE">
      <w:pPr>
        <w:rPr>
          <w:noProof/>
          <w:lang w:eastAsia="en-GB"/>
        </w:rPr>
      </w:pPr>
      <w:r>
        <w:rPr>
          <w:noProof/>
          <w:lang w:eastAsia="en-GB"/>
        </w:rPr>
        <w:t xml:space="preserve">The following charts break down the demographic spread of </w:t>
      </w:r>
      <w:r w:rsidR="00886D5F">
        <w:rPr>
          <w:noProof/>
          <w:lang w:eastAsia="en-GB"/>
        </w:rPr>
        <w:t xml:space="preserve">cases closed by Victim First </w:t>
      </w:r>
      <w:r w:rsidR="00630FE2">
        <w:rPr>
          <w:noProof/>
          <w:lang w:eastAsia="en-GB"/>
        </w:rPr>
        <w:t>in</w:t>
      </w:r>
      <w:r w:rsidR="00A87A3C">
        <w:rPr>
          <w:noProof/>
          <w:lang w:eastAsia="en-GB"/>
        </w:rPr>
        <w:t xml:space="preserve"> </w:t>
      </w:r>
      <w:r w:rsidR="004A1489">
        <w:rPr>
          <w:noProof/>
          <w:lang w:eastAsia="en-GB"/>
        </w:rPr>
        <w:t>October</w:t>
      </w:r>
      <w:r w:rsidR="00436FFB">
        <w:rPr>
          <w:noProof/>
          <w:lang w:eastAsia="en-GB"/>
        </w:rPr>
        <w:t xml:space="preserve"> </w:t>
      </w:r>
      <w:r w:rsidR="00630FE2">
        <w:rPr>
          <w:noProof/>
          <w:lang w:eastAsia="en-GB"/>
        </w:rPr>
        <w:t>2017.</w:t>
      </w:r>
      <w:r>
        <w:rPr>
          <w:noProof/>
          <w:lang w:eastAsia="en-GB"/>
        </w:rPr>
        <w:t xml:space="preserve"> </w:t>
      </w:r>
    </w:p>
    <w:p w:rsidR="001D2E43" w:rsidRPr="001D2E43" w:rsidRDefault="001D2E43" w:rsidP="001D2E43">
      <w:pPr>
        <w:pStyle w:val="Heading2"/>
        <w:rPr>
          <w:noProof/>
          <w:lang w:eastAsia="en-GB"/>
        </w:rPr>
      </w:pPr>
      <w:bookmarkStart w:id="11" w:name="_Toc500170258"/>
      <w:r>
        <w:rPr>
          <w:noProof/>
          <w:lang w:eastAsia="en-GB"/>
        </w:rPr>
        <w:t>Gender</w:t>
      </w:r>
      <w:bookmarkEnd w:id="11"/>
      <w:r>
        <w:rPr>
          <w:noProof/>
          <w:lang w:eastAsia="en-GB"/>
        </w:rPr>
        <w:t xml:space="preserve"> </w:t>
      </w:r>
    </w:p>
    <w:p w:rsidR="001D2E43" w:rsidRDefault="001D2E43" w:rsidP="00FB59EE">
      <w:pPr>
        <w:rPr>
          <w:noProof/>
          <w:lang w:eastAsia="en-GB"/>
        </w:rPr>
      </w:pPr>
      <w:r>
        <w:rPr>
          <w:noProof/>
          <w:lang w:eastAsia="en-GB"/>
        </w:rPr>
        <w:drawing>
          <wp:inline distT="0" distB="0" distL="0" distR="0" wp14:anchorId="6E1AA958" wp14:editId="0FDF8C55">
            <wp:extent cx="6679095" cy="3983355"/>
            <wp:effectExtent l="0" t="0" r="762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D2E43" w:rsidRDefault="001D2E43" w:rsidP="001D2E43">
      <w:pPr>
        <w:pStyle w:val="Heading2"/>
        <w:rPr>
          <w:noProof/>
          <w:lang w:eastAsia="en-GB"/>
        </w:rPr>
      </w:pPr>
      <w:bookmarkStart w:id="12" w:name="_Toc500170259"/>
      <w:r>
        <w:rPr>
          <w:noProof/>
          <w:lang w:eastAsia="en-GB"/>
        </w:rPr>
        <w:t>Age</w:t>
      </w:r>
      <w:bookmarkEnd w:id="12"/>
      <w:r>
        <w:rPr>
          <w:noProof/>
          <w:lang w:eastAsia="en-GB"/>
        </w:rPr>
        <w:t xml:space="preserve"> </w:t>
      </w:r>
    </w:p>
    <w:p w:rsidR="001D2E43" w:rsidRPr="00FB59EE" w:rsidRDefault="001D2E43" w:rsidP="00FB59EE">
      <w:pPr>
        <w:rPr>
          <w:lang w:eastAsia="en-GB"/>
        </w:rPr>
      </w:pPr>
      <w:r>
        <w:rPr>
          <w:noProof/>
          <w:lang w:eastAsia="en-GB"/>
        </w:rPr>
        <w:drawing>
          <wp:inline distT="0" distB="0" distL="0" distR="0" wp14:anchorId="0E1759FF" wp14:editId="30E43932">
            <wp:extent cx="6320790" cy="3299460"/>
            <wp:effectExtent l="0" t="0" r="3810"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68A0" w:rsidRDefault="001D2E43" w:rsidP="001D2E43">
      <w:pPr>
        <w:pStyle w:val="Heading2"/>
      </w:pPr>
      <w:bookmarkStart w:id="13" w:name="_Toc500170260"/>
      <w:r>
        <w:lastRenderedPageBreak/>
        <w:t>Ethnicity</w:t>
      </w:r>
      <w:bookmarkEnd w:id="13"/>
    </w:p>
    <w:p w:rsidR="001D2E43" w:rsidRPr="001D2E43" w:rsidRDefault="003D166B" w:rsidP="001D2E43">
      <w:r>
        <w:rPr>
          <w:noProof/>
          <w:lang w:eastAsia="en-GB"/>
        </w:rPr>
        <w:drawing>
          <wp:inline distT="0" distB="0" distL="0" distR="0" wp14:anchorId="599D772A" wp14:editId="08F17707">
            <wp:extent cx="6238875" cy="4491533"/>
            <wp:effectExtent l="0" t="0" r="9525" b="444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68A0" w:rsidRDefault="005739D7" w:rsidP="005739D7">
      <w:pPr>
        <w:pStyle w:val="Heading2"/>
      </w:pPr>
      <w:bookmarkStart w:id="14" w:name="_Toc500170261"/>
      <w:r>
        <w:t>Disabilities</w:t>
      </w:r>
      <w:bookmarkEnd w:id="14"/>
      <w:r>
        <w:t xml:space="preserve"> </w:t>
      </w:r>
    </w:p>
    <w:p w:rsidR="005739D7" w:rsidRPr="005739D7" w:rsidRDefault="003D166B" w:rsidP="005739D7">
      <w:r>
        <w:rPr>
          <w:noProof/>
          <w:lang w:eastAsia="en-GB"/>
        </w:rPr>
        <w:drawing>
          <wp:inline distT="0" distB="0" distL="0" distR="0" wp14:anchorId="67CA8222" wp14:editId="5EEF4105">
            <wp:extent cx="6238875" cy="3951799"/>
            <wp:effectExtent l="0" t="0" r="9525"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68A0" w:rsidRDefault="002E6778" w:rsidP="002E6778">
      <w:pPr>
        <w:pStyle w:val="Heading2"/>
      </w:pPr>
      <w:bookmarkStart w:id="15" w:name="_Toc500170262"/>
      <w:r>
        <w:lastRenderedPageBreak/>
        <w:t>Religion</w:t>
      </w:r>
      <w:bookmarkEnd w:id="15"/>
    </w:p>
    <w:p w:rsidR="002E6778" w:rsidRPr="002E6778" w:rsidRDefault="00E859EE" w:rsidP="002E6778">
      <w:r>
        <w:rPr>
          <w:noProof/>
          <w:lang w:eastAsia="en-GB"/>
        </w:rPr>
        <w:drawing>
          <wp:inline distT="0" distB="0" distL="0" distR="0">
            <wp:extent cx="6122504" cy="4206240"/>
            <wp:effectExtent l="0" t="0" r="120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68A0" w:rsidRPr="006668A0" w:rsidRDefault="006668A0" w:rsidP="006668A0"/>
    <w:p w:rsidR="006668A0" w:rsidRDefault="002E6778" w:rsidP="002E6778">
      <w:pPr>
        <w:pStyle w:val="Heading2"/>
      </w:pPr>
      <w:bookmarkStart w:id="16" w:name="_Toc500170263"/>
      <w:r>
        <w:t>Sexual Orientation</w:t>
      </w:r>
      <w:bookmarkEnd w:id="16"/>
    </w:p>
    <w:p w:rsidR="002E6778" w:rsidRPr="002E6778" w:rsidRDefault="001266B6" w:rsidP="002E6778">
      <w:r>
        <w:rPr>
          <w:noProof/>
          <w:lang w:eastAsia="en-GB"/>
        </w:rPr>
        <w:drawing>
          <wp:inline distT="0" distB="0" distL="0" distR="0" wp14:anchorId="5DF85687" wp14:editId="1B1C4FBD">
            <wp:extent cx="6238875" cy="3999506"/>
            <wp:effectExtent l="0" t="0" r="9525" b="12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68A0" w:rsidRDefault="006668A0" w:rsidP="006668A0"/>
    <w:p w:rsidR="002E6778" w:rsidRDefault="002E6778" w:rsidP="002E6778">
      <w:pPr>
        <w:pStyle w:val="Heading2"/>
      </w:pPr>
      <w:bookmarkStart w:id="17" w:name="_Toc500170264"/>
      <w:r>
        <w:t>Communication Needs</w:t>
      </w:r>
      <w:bookmarkEnd w:id="17"/>
      <w:r>
        <w:t xml:space="preserve"> </w:t>
      </w:r>
    </w:p>
    <w:p w:rsidR="001266B6" w:rsidRDefault="006371B9" w:rsidP="002E6778">
      <w:r>
        <w:rPr>
          <w:noProof/>
          <w:lang w:eastAsia="en-GB"/>
        </w:rPr>
        <w:drawing>
          <wp:inline distT="0" distB="0" distL="0" distR="0">
            <wp:extent cx="6330462" cy="42291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71B9" w:rsidRDefault="006371B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CF4389" w:rsidRPr="002E6778" w:rsidRDefault="00CF4389" w:rsidP="002E6778"/>
    <w:p w:rsidR="006668A0" w:rsidRPr="006668A0" w:rsidRDefault="002E6778" w:rsidP="002E6778">
      <w:pPr>
        <w:pStyle w:val="Heading1"/>
      </w:pPr>
      <w:bookmarkStart w:id="18" w:name="_Toc500170265"/>
      <w:r>
        <w:lastRenderedPageBreak/>
        <w:t>9. Geographic Areas</w:t>
      </w:r>
      <w:bookmarkEnd w:id="18"/>
      <w:r>
        <w:t xml:space="preserve"> </w:t>
      </w:r>
    </w:p>
    <w:tbl>
      <w:tblPr>
        <w:tblStyle w:val="GridTable41"/>
        <w:tblW w:w="0" w:type="auto"/>
        <w:tblLook w:val="04A0" w:firstRow="1" w:lastRow="0" w:firstColumn="1" w:lastColumn="0" w:noHBand="0" w:noVBand="1"/>
      </w:tblPr>
      <w:tblGrid>
        <w:gridCol w:w="4673"/>
        <w:gridCol w:w="2126"/>
        <w:gridCol w:w="2552"/>
      </w:tblGrid>
      <w:tr w:rsidR="002E6778" w:rsidRPr="0092509A" w:rsidTr="00925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E6778" w:rsidP="002E6778">
            <w:pPr>
              <w:rPr>
                <w:sz w:val="20"/>
                <w:szCs w:val="20"/>
              </w:rPr>
            </w:pPr>
            <w:r w:rsidRPr="0092509A">
              <w:rPr>
                <w:sz w:val="20"/>
                <w:szCs w:val="20"/>
              </w:rPr>
              <w:t xml:space="preserve">Area </w:t>
            </w:r>
          </w:p>
        </w:tc>
        <w:tc>
          <w:tcPr>
            <w:tcW w:w="2126" w:type="dxa"/>
          </w:tcPr>
          <w:p w:rsidR="002E6778" w:rsidRPr="0092509A" w:rsidRDefault="002E6778" w:rsidP="002E6778">
            <w:pPr>
              <w:cnfStyle w:val="100000000000" w:firstRow="1" w:lastRow="0" w:firstColumn="0" w:lastColumn="0" w:oddVBand="0" w:evenVBand="0" w:oddHBand="0" w:evenHBand="0" w:firstRowFirstColumn="0" w:firstRowLastColumn="0" w:lastRowFirstColumn="0" w:lastRowLastColumn="0"/>
              <w:rPr>
                <w:sz w:val="20"/>
                <w:szCs w:val="20"/>
              </w:rPr>
            </w:pPr>
            <w:r w:rsidRPr="0092509A">
              <w:rPr>
                <w:sz w:val="20"/>
                <w:szCs w:val="20"/>
              </w:rPr>
              <w:t xml:space="preserve">Closed Cases </w:t>
            </w:r>
          </w:p>
        </w:tc>
        <w:tc>
          <w:tcPr>
            <w:tcW w:w="2552" w:type="dxa"/>
          </w:tcPr>
          <w:p w:rsidR="002E6778" w:rsidRPr="0092509A" w:rsidRDefault="002E6778" w:rsidP="002E6778">
            <w:pPr>
              <w:cnfStyle w:val="100000000000" w:firstRow="1" w:lastRow="0" w:firstColumn="0" w:lastColumn="0" w:oddVBand="0" w:evenVBand="0" w:oddHBand="0" w:evenHBand="0" w:firstRowFirstColumn="0" w:firstRowLastColumn="0" w:lastRowFirstColumn="0" w:lastRowLastColumn="0"/>
              <w:rPr>
                <w:sz w:val="20"/>
                <w:szCs w:val="20"/>
              </w:rPr>
            </w:pPr>
            <w:r w:rsidRPr="0092509A">
              <w:rPr>
                <w:sz w:val="20"/>
                <w:szCs w:val="20"/>
              </w:rPr>
              <w:t xml:space="preserve">Closed and received enhanced support </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Abbey (City)</w:t>
            </w:r>
          </w:p>
        </w:tc>
        <w:tc>
          <w:tcPr>
            <w:tcW w:w="2126" w:type="dxa"/>
          </w:tcPr>
          <w:p w:rsidR="00727DF4" w:rsidRPr="0092509A" w:rsidRDefault="00727DF4" w:rsidP="00727DF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379</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proofErr w:type="spellStart"/>
            <w:r>
              <w:rPr>
                <w:sz w:val="20"/>
                <w:szCs w:val="20"/>
              </w:rPr>
              <w:t>Aylestone</w:t>
            </w:r>
            <w:proofErr w:type="spellEnd"/>
            <w:r>
              <w:rPr>
                <w:sz w:val="20"/>
                <w:szCs w:val="20"/>
              </w:rPr>
              <w:t xml:space="preserve"> (City) </w:t>
            </w:r>
          </w:p>
        </w:tc>
        <w:tc>
          <w:tcPr>
            <w:tcW w:w="2126" w:type="dxa"/>
          </w:tcPr>
          <w:p w:rsidR="006F7C61" w:rsidRPr="0092509A" w:rsidRDefault="00727DF4" w:rsidP="006F7C6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177</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D376E7"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D376E7" w:rsidRDefault="00E461A5" w:rsidP="002E6778">
            <w:pPr>
              <w:rPr>
                <w:sz w:val="20"/>
                <w:szCs w:val="20"/>
              </w:rPr>
            </w:pPr>
            <w:proofErr w:type="spellStart"/>
            <w:r>
              <w:rPr>
                <w:sz w:val="20"/>
                <w:szCs w:val="20"/>
              </w:rPr>
              <w:t>Aylestone</w:t>
            </w:r>
            <w:proofErr w:type="spellEnd"/>
            <w:r>
              <w:rPr>
                <w:sz w:val="20"/>
                <w:szCs w:val="20"/>
              </w:rPr>
              <w:t xml:space="preserve"> Park (City)</w:t>
            </w:r>
          </w:p>
        </w:tc>
        <w:tc>
          <w:tcPr>
            <w:tcW w:w="2126" w:type="dxa"/>
          </w:tcPr>
          <w:p w:rsidR="00D376E7"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552" w:type="dxa"/>
          </w:tcPr>
          <w:p w:rsidR="00D376E7"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Beaumont Leys (City)</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287</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Belgrave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250</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 xml:space="preserve">Blaby (County) </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617</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Braunstone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458</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w:t>
            </w:r>
          </w:p>
        </w:tc>
      </w:tr>
      <w:tr w:rsidR="00727DF4"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27DF4" w:rsidRDefault="00727DF4" w:rsidP="002E6778">
            <w:pPr>
              <w:rPr>
                <w:sz w:val="20"/>
                <w:szCs w:val="20"/>
              </w:rPr>
            </w:pPr>
            <w:r>
              <w:rPr>
                <w:sz w:val="20"/>
                <w:szCs w:val="20"/>
              </w:rPr>
              <w:t>Braunstone East (City)</w:t>
            </w:r>
          </w:p>
        </w:tc>
        <w:tc>
          <w:tcPr>
            <w:tcW w:w="2126" w:type="dxa"/>
          </w:tcPr>
          <w:p w:rsidR="00727DF4"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727DF4"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727DF4"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27DF4" w:rsidRDefault="00727DF4" w:rsidP="002E6778">
            <w:pPr>
              <w:rPr>
                <w:sz w:val="20"/>
                <w:szCs w:val="20"/>
              </w:rPr>
            </w:pPr>
            <w:r>
              <w:rPr>
                <w:sz w:val="20"/>
                <w:szCs w:val="20"/>
              </w:rPr>
              <w:t>Braunstone Town (County)</w:t>
            </w:r>
          </w:p>
        </w:tc>
        <w:tc>
          <w:tcPr>
            <w:tcW w:w="2126" w:type="dxa"/>
          </w:tcPr>
          <w:p w:rsidR="00727DF4"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w:t>
            </w:r>
          </w:p>
        </w:tc>
        <w:tc>
          <w:tcPr>
            <w:tcW w:w="2552" w:type="dxa"/>
          </w:tcPr>
          <w:p w:rsidR="00727DF4"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Castle (City)</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615</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r>
              <w:rPr>
                <w:sz w:val="20"/>
                <w:szCs w:val="20"/>
              </w:rPr>
              <w:t>Castle Hill (City)</w:t>
            </w:r>
          </w:p>
        </w:tc>
        <w:tc>
          <w:tcPr>
            <w:tcW w:w="2126"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177</w:t>
            </w:r>
          </w:p>
        </w:tc>
        <w:tc>
          <w:tcPr>
            <w:tcW w:w="2552"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r>
      <w:tr w:rsidR="00482D9C"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141DDC" w:rsidP="002E6778">
            <w:pPr>
              <w:rPr>
                <w:bCs w:val="0"/>
                <w:sz w:val="20"/>
                <w:szCs w:val="20"/>
              </w:rPr>
            </w:pPr>
            <w:r>
              <w:rPr>
                <w:bCs w:val="0"/>
                <w:sz w:val="20"/>
                <w:szCs w:val="20"/>
              </w:rPr>
              <w:t>Charnwood (County)</w:t>
            </w:r>
          </w:p>
        </w:tc>
        <w:tc>
          <w:tcPr>
            <w:tcW w:w="2126" w:type="dxa"/>
          </w:tcPr>
          <w:p w:rsidR="00482D9C"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1,422</w:t>
            </w:r>
          </w:p>
        </w:tc>
        <w:tc>
          <w:tcPr>
            <w:tcW w:w="2552" w:type="dxa"/>
          </w:tcPr>
          <w:p w:rsidR="00472B5D"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237</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City Centre and St Andrews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501</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w:t>
            </w:r>
          </w:p>
        </w:tc>
      </w:tr>
      <w:tr w:rsidR="006F7C61"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6F7C61" w:rsidRDefault="006F7C61" w:rsidP="002E6778">
            <w:pPr>
              <w:rPr>
                <w:sz w:val="20"/>
                <w:szCs w:val="20"/>
              </w:rPr>
            </w:pPr>
            <w:r>
              <w:rPr>
                <w:sz w:val="20"/>
                <w:szCs w:val="20"/>
              </w:rPr>
              <w:t>Clarendon (City)</w:t>
            </w:r>
          </w:p>
        </w:tc>
        <w:tc>
          <w:tcPr>
            <w:tcW w:w="2126" w:type="dxa"/>
          </w:tcPr>
          <w:p w:rsidR="006F7C61"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2552" w:type="dxa"/>
          </w:tcPr>
          <w:p w:rsidR="006F7C61"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482D9C"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141DDC" w:rsidP="002E6778">
            <w:pPr>
              <w:rPr>
                <w:bCs w:val="0"/>
                <w:sz w:val="20"/>
                <w:szCs w:val="20"/>
              </w:rPr>
            </w:pPr>
            <w:r>
              <w:rPr>
                <w:bCs w:val="0"/>
                <w:sz w:val="20"/>
                <w:szCs w:val="20"/>
              </w:rPr>
              <w:t>Coleman (City)</w:t>
            </w:r>
          </w:p>
        </w:tc>
        <w:tc>
          <w:tcPr>
            <w:tcW w:w="2126" w:type="dxa"/>
          </w:tcPr>
          <w:p w:rsidR="00482D9C"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143</w:t>
            </w:r>
          </w:p>
        </w:tc>
        <w:tc>
          <w:tcPr>
            <w:tcW w:w="2552" w:type="dxa"/>
          </w:tcPr>
          <w:p w:rsidR="00482D9C"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bCs w:val="0"/>
                <w:sz w:val="20"/>
                <w:szCs w:val="20"/>
              </w:rPr>
            </w:pPr>
            <w:proofErr w:type="spellStart"/>
            <w:r>
              <w:rPr>
                <w:bCs w:val="0"/>
                <w:sz w:val="20"/>
                <w:szCs w:val="20"/>
              </w:rPr>
              <w:t>Cottesmore</w:t>
            </w:r>
            <w:proofErr w:type="spellEnd"/>
            <w:r>
              <w:rPr>
                <w:bCs w:val="0"/>
                <w:sz w:val="20"/>
                <w:szCs w:val="20"/>
              </w:rPr>
              <w:t xml:space="preserve"> (Rutland)</w:t>
            </w:r>
          </w:p>
        </w:tc>
        <w:tc>
          <w:tcPr>
            <w:tcW w:w="2126"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bCs w:val="0"/>
                <w:sz w:val="20"/>
                <w:szCs w:val="20"/>
              </w:rPr>
            </w:pPr>
            <w:r>
              <w:rPr>
                <w:bCs w:val="0"/>
                <w:sz w:val="20"/>
                <w:szCs w:val="20"/>
              </w:rPr>
              <w:t>Crown Hills (City)</w:t>
            </w:r>
          </w:p>
        </w:tc>
        <w:tc>
          <w:tcPr>
            <w:tcW w:w="2126"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552"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Evington (City)</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285</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482D9C">
            <w:pPr>
              <w:tabs>
                <w:tab w:val="left" w:pos="2855"/>
              </w:tabs>
              <w:rPr>
                <w:sz w:val="20"/>
                <w:szCs w:val="20"/>
              </w:rPr>
            </w:pPr>
            <w:proofErr w:type="spellStart"/>
            <w:r>
              <w:rPr>
                <w:sz w:val="20"/>
                <w:szCs w:val="20"/>
              </w:rPr>
              <w:t>Eyres</w:t>
            </w:r>
            <w:proofErr w:type="spellEnd"/>
            <w:r>
              <w:rPr>
                <w:sz w:val="20"/>
                <w:szCs w:val="20"/>
              </w:rPr>
              <w:t xml:space="preserve"> </w:t>
            </w:r>
            <w:proofErr w:type="spellStart"/>
            <w:r>
              <w:rPr>
                <w:sz w:val="20"/>
                <w:szCs w:val="20"/>
              </w:rPr>
              <w:t>Monsell</w:t>
            </w:r>
            <w:proofErr w:type="spellEnd"/>
            <w:r>
              <w:rPr>
                <w:sz w:val="20"/>
                <w:szCs w:val="20"/>
              </w:rPr>
              <w:t xml:space="preserve"> (City)</w:t>
            </w:r>
          </w:p>
        </w:tc>
        <w:tc>
          <w:tcPr>
            <w:tcW w:w="2126" w:type="dxa"/>
          </w:tcPr>
          <w:p w:rsidR="002E6778" w:rsidRPr="0092509A" w:rsidRDefault="00727DF4" w:rsidP="005A7B5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238</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r>
      <w:tr w:rsidR="00482D9C"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141DDC" w:rsidP="00482D9C">
            <w:pPr>
              <w:tabs>
                <w:tab w:val="left" w:pos="2855"/>
              </w:tabs>
              <w:rPr>
                <w:bCs w:val="0"/>
                <w:sz w:val="20"/>
                <w:szCs w:val="20"/>
              </w:rPr>
            </w:pPr>
            <w:r>
              <w:rPr>
                <w:bCs w:val="0"/>
                <w:sz w:val="20"/>
                <w:szCs w:val="20"/>
              </w:rPr>
              <w:t>Fosse (City)</w:t>
            </w:r>
          </w:p>
        </w:tc>
        <w:tc>
          <w:tcPr>
            <w:tcW w:w="2126" w:type="dxa"/>
          </w:tcPr>
          <w:p w:rsidR="00482D9C"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252</w:t>
            </w:r>
          </w:p>
        </w:tc>
        <w:tc>
          <w:tcPr>
            <w:tcW w:w="2552" w:type="dxa"/>
          </w:tcPr>
          <w:p w:rsidR="00482D9C"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Freeman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157</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777C7B">
            <w:pPr>
              <w:rPr>
                <w:sz w:val="20"/>
                <w:szCs w:val="20"/>
              </w:rPr>
            </w:pPr>
            <w:proofErr w:type="spellStart"/>
            <w:r>
              <w:rPr>
                <w:sz w:val="20"/>
                <w:szCs w:val="20"/>
              </w:rPr>
              <w:t>Greetham</w:t>
            </w:r>
            <w:proofErr w:type="spellEnd"/>
            <w:r>
              <w:rPr>
                <w:sz w:val="20"/>
                <w:szCs w:val="20"/>
              </w:rPr>
              <w:t xml:space="preserve"> (Rutland)</w:t>
            </w:r>
          </w:p>
        </w:tc>
        <w:tc>
          <w:tcPr>
            <w:tcW w:w="2126" w:type="dxa"/>
          </w:tcPr>
          <w:p w:rsidR="00777C7B" w:rsidRDefault="00777C7B" w:rsidP="00777C7B">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552"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E461A5"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E461A5" w:rsidRDefault="00E461A5" w:rsidP="002E6778">
            <w:pPr>
              <w:rPr>
                <w:sz w:val="20"/>
                <w:szCs w:val="20"/>
              </w:rPr>
            </w:pPr>
            <w:r>
              <w:rPr>
                <w:sz w:val="20"/>
                <w:szCs w:val="20"/>
              </w:rPr>
              <w:t>Hamilton (City)</w:t>
            </w:r>
          </w:p>
        </w:tc>
        <w:tc>
          <w:tcPr>
            <w:tcW w:w="2126" w:type="dxa"/>
          </w:tcPr>
          <w:p w:rsidR="00E461A5"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c>
          <w:tcPr>
            <w:tcW w:w="2552" w:type="dxa"/>
          </w:tcPr>
          <w:p w:rsidR="00E461A5"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Harborough (County)</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615</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103</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Hinckley and Bosworth (County)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809</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129</w:t>
            </w:r>
          </w:p>
        </w:tc>
      </w:tr>
      <w:tr w:rsidR="00E84864"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E84864" w:rsidRDefault="00141DDC" w:rsidP="002E6778">
            <w:pPr>
              <w:rPr>
                <w:sz w:val="20"/>
                <w:szCs w:val="20"/>
              </w:rPr>
            </w:pPr>
            <w:proofErr w:type="spellStart"/>
            <w:r>
              <w:rPr>
                <w:sz w:val="20"/>
                <w:szCs w:val="20"/>
              </w:rPr>
              <w:t>Humberstone</w:t>
            </w:r>
            <w:proofErr w:type="spellEnd"/>
            <w:r>
              <w:rPr>
                <w:sz w:val="20"/>
                <w:szCs w:val="20"/>
              </w:rPr>
              <w:t xml:space="preserve"> (City)</w:t>
            </w:r>
          </w:p>
        </w:tc>
        <w:tc>
          <w:tcPr>
            <w:tcW w:w="2126" w:type="dxa"/>
          </w:tcPr>
          <w:p w:rsidR="00E84864"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217</w:t>
            </w:r>
          </w:p>
        </w:tc>
        <w:tc>
          <w:tcPr>
            <w:tcW w:w="2552" w:type="dxa"/>
          </w:tcPr>
          <w:p w:rsidR="00E84864"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tc>
      </w:tr>
      <w:tr w:rsidR="00727DF4"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27DF4" w:rsidRDefault="00727DF4" w:rsidP="002E6778">
            <w:pPr>
              <w:rPr>
                <w:sz w:val="20"/>
                <w:szCs w:val="20"/>
              </w:rPr>
            </w:pPr>
            <w:proofErr w:type="spellStart"/>
            <w:r>
              <w:rPr>
                <w:sz w:val="20"/>
                <w:szCs w:val="20"/>
              </w:rPr>
              <w:t>Ketton</w:t>
            </w:r>
            <w:proofErr w:type="spellEnd"/>
            <w:r>
              <w:rPr>
                <w:sz w:val="20"/>
                <w:szCs w:val="20"/>
              </w:rPr>
              <w:t xml:space="preserve"> (County)</w:t>
            </w:r>
          </w:p>
        </w:tc>
        <w:tc>
          <w:tcPr>
            <w:tcW w:w="2126" w:type="dxa"/>
          </w:tcPr>
          <w:p w:rsidR="00727DF4"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552" w:type="dxa"/>
          </w:tcPr>
          <w:p w:rsidR="00727DF4"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472B5D"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472B5D" w:rsidRDefault="00141DDC" w:rsidP="002E6778">
            <w:pPr>
              <w:rPr>
                <w:sz w:val="20"/>
                <w:szCs w:val="20"/>
              </w:rPr>
            </w:pPr>
            <w:r>
              <w:rPr>
                <w:sz w:val="20"/>
                <w:szCs w:val="20"/>
              </w:rPr>
              <w:t>Knighton (City)</w:t>
            </w:r>
          </w:p>
        </w:tc>
        <w:tc>
          <w:tcPr>
            <w:tcW w:w="2126" w:type="dxa"/>
          </w:tcPr>
          <w:p w:rsidR="00472B5D"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161</w:t>
            </w:r>
          </w:p>
        </w:tc>
        <w:tc>
          <w:tcPr>
            <w:tcW w:w="2552" w:type="dxa"/>
          </w:tcPr>
          <w:p w:rsidR="00472B5D"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Latimer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r>
      <w:tr w:rsidR="00727DF4"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27DF4" w:rsidRDefault="00727DF4" w:rsidP="002E6778">
            <w:pPr>
              <w:rPr>
                <w:sz w:val="20"/>
                <w:szCs w:val="20"/>
              </w:rPr>
            </w:pPr>
            <w:r>
              <w:rPr>
                <w:sz w:val="20"/>
                <w:szCs w:val="20"/>
              </w:rPr>
              <w:t>Langham (City)</w:t>
            </w:r>
          </w:p>
        </w:tc>
        <w:tc>
          <w:tcPr>
            <w:tcW w:w="2126" w:type="dxa"/>
          </w:tcPr>
          <w:p w:rsidR="00727DF4"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727DF4"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727DF4"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27DF4" w:rsidRDefault="00727DF4" w:rsidP="002E6778">
            <w:pPr>
              <w:rPr>
                <w:sz w:val="20"/>
                <w:szCs w:val="20"/>
              </w:rPr>
            </w:pPr>
            <w:r>
              <w:rPr>
                <w:sz w:val="20"/>
                <w:szCs w:val="20"/>
              </w:rPr>
              <w:t>Market Bosworth (County)</w:t>
            </w:r>
          </w:p>
        </w:tc>
        <w:tc>
          <w:tcPr>
            <w:tcW w:w="2126" w:type="dxa"/>
          </w:tcPr>
          <w:p w:rsidR="00727DF4"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c>
          <w:tcPr>
            <w:tcW w:w="2552" w:type="dxa"/>
          </w:tcPr>
          <w:p w:rsidR="00727DF4"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proofErr w:type="spellStart"/>
            <w:r>
              <w:rPr>
                <w:sz w:val="20"/>
                <w:szCs w:val="20"/>
              </w:rPr>
              <w:t>Martinsthorpe</w:t>
            </w:r>
            <w:proofErr w:type="spellEnd"/>
            <w:r>
              <w:rPr>
                <w:sz w:val="20"/>
                <w:szCs w:val="20"/>
              </w:rPr>
              <w:t xml:space="preserve"> (Rutland)</w:t>
            </w:r>
          </w:p>
        </w:tc>
        <w:tc>
          <w:tcPr>
            <w:tcW w:w="2126"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2552"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2E6778"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Melton (County)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457</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tc>
      </w:tr>
      <w:tr w:rsidR="002E6778"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New Parks (City)</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351</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w:t>
            </w:r>
          </w:p>
        </w:tc>
      </w:tr>
      <w:tr w:rsidR="00E461A5"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E461A5" w:rsidRDefault="00E461A5" w:rsidP="002E6778">
            <w:pPr>
              <w:rPr>
                <w:sz w:val="20"/>
                <w:szCs w:val="20"/>
              </w:rPr>
            </w:pPr>
            <w:r>
              <w:rPr>
                <w:sz w:val="20"/>
                <w:szCs w:val="20"/>
              </w:rPr>
              <w:t>New Parks West (City)</w:t>
            </w:r>
          </w:p>
        </w:tc>
        <w:tc>
          <w:tcPr>
            <w:tcW w:w="2126" w:type="dxa"/>
          </w:tcPr>
          <w:p w:rsidR="00E461A5"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2552" w:type="dxa"/>
          </w:tcPr>
          <w:p w:rsidR="00E461A5"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727DF4"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27DF4" w:rsidRDefault="00727DF4" w:rsidP="002E6778">
            <w:pPr>
              <w:rPr>
                <w:sz w:val="20"/>
                <w:szCs w:val="20"/>
              </w:rPr>
            </w:pPr>
            <w:r>
              <w:rPr>
                <w:sz w:val="20"/>
                <w:szCs w:val="20"/>
              </w:rPr>
              <w:t>Northfields (City)</w:t>
            </w:r>
          </w:p>
        </w:tc>
        <w:tc>
          <w:tcPr>
            <w:tcW w:w="2126" w:type="dxa"/>
          </w:tcPr>
          <w:p w:rsidR="00727DF4"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c>
          <w:tcPr>
            <w:tcW w:w="2552" w:type="dxa"/>
          </w:tcPr>
          <w:p w:rsidR="00727DF4"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141DDC" w:rsidP="002E6778">
            <w:pPr>
              <w:rPr>
                <w:bCs w:val="0"/>
                <w:sz w:val="20"/>
                <w:szCs w:val="20"/>
              </w:rPr>
            </w:pPr>
            <w:r>
              <w:rPr>
                <w:bCs w:val="0"/>
                <w:sz w:val="20"/>
                <w:szCs w:val="20"/>
              </w:rPr>
              <w:t>North West Leicester (County)</w:t>
            </w:r>
          </w:p>
        </w:tc>
        <w:tc>
          <w:tcPr>
            <w:tcW w:w="2126" w:type="dxa"/>
          </w:tcPr>
          <w:p w:rsidR="00482D9C"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654</w:t>
            </w:r>
          </w:p>
        </w:tc>
        <w:tc>
          <w:tcPr>
            <w:tcW w:w="2552" w:type="dxa"/>
          </w:tcPr>
          <w:p w:rsidR="00482D9C"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111</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proofErr w:type="spellStart"/>
            <w:r>
              <w:rPr>
                <w:sz w:val="20"/>
                <w:szCs w:val="20"/>
              </w:rPr>
              <w:t>Oadby</w:t>
            </w:r>
            <w:proofErr w:type="spellEnd"/>
            <w:r>
              <w:rPr>
                <w:sz w:val="20"/>
                <w:szCs w:val="20"/>
              </w:rPr>
              <w:t xml:space="preserve"> and </w:t>
            </w:r>
            <w:proofErr w:type="spellStart"/>
            <w:r>
              <w:rPr>
                <w:sz w:val="20"/>
                <w:szCs w:val="20"/>
              </w:rPr>
              <w:t>Wigston</w:t>
            </w:r>
            <w:proofErr w:type="spellEnd"/>
            <w:r>
              <w:rPr>
                <w:sz w:val="20"/>
                <w:szCs w:val="20"/>
              </w:rPr>
              <w:t xml:space="preserve"> (County) </w:t>
            </w:r>
          </w:p>
        </w:tc>
        <w:tc>
          <w:tcPr>
            <w:tcW w:w="2126"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w:t>
            </w:r>
          </w:p>
        </w:tc>
        <w:tc>
          <w:tcPr>
            <w:tcW w:w="2552" w:type="dxa"/>
          </w:tcPr>
          <w:p w:rsidR="002E6778" w:rsidRPr="0092509A" w:rsidRDefault="00727DF4"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520804" w:rsidRDefault="00520804" w:rsidP="002E6778">
            <w:pPr>
              <w:rPr>
                <w:sz w:val="20"/>
                <w:szCs w:val="20"/>
              </w:rPr>
            </w:pPr>
            <w:r>
              <w:rPr>
                <w:sz w:val="20"/>
                <w:szCs w:val="20"/>
              </w:rPr>
              <w:t>Oakham (Rutland)</w:t>
            </w:r>
          </w:p>
        </w:tc>
        <w:tc>
          <w:tcPr>
            <w:tcW w:w="2126" w:type="dxa"/>
          </w:tcPr>
          <w:p w:rsidR="00520804"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c>
          <w:tcPr>
            <w:tcW w:w="2552" w:type="dxa"/>
          </w:tcPr>
          <w:p w:rsidR="00520804"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proofErr w:type="spellStart"/>
            <w:r>
              <w:rPr>
                <w:sz w:val="20"/>
                <w:szCs w:val="20"/>
              </w:rPr>
              <w:t>Ryhall</w:t>
            </w:r>
            <w:proofErr w:type="spellEnd"/>
            <w:r>
              <w:rPr>
                <w:sz w:val="20"/>
                <w:szCs w:val="20"/>
              </w:rPr>
              <w:t xml:space="preserve"> and Casterton (City)</w:t>
            </w:r>
          </w:p>
        </w:tc>
        <w:tc>
          <w:tcPr>
            <w:tcW w:w="2126"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552"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Rowley Fields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w:t>
            </w:r>
          </w:p>
        </w:tc>
        <w:tc>
          <w:tcPr>
            <w:tcW w:w="2552" w:type="dxa"/>
          </w:tcPr>
          <w:p w:rsidR="002E6778" w:rsidRPr="0092509A" w:rsidRDefault="00727DF4" w:rsidP="005A7B5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proofErr w:type="spellStart"/>
            <w:r>
              <w:rPr>
                <w:sz w:val="20"/>
                <w:szCs w:val="20"/>
              </w:rPr>
              <w:t>Rushey</w:t>
            </w:r>
            <w:proofErr w:type="spellEnd"/>
            <w:r>
              <w:rPr>
                <w:sz w:val="20"/>
                <w:szCs w:val="20"/>
              </w:rPr>
              <w:t xml:space="preserve"> Fields (City)</w:t>
            </w:r>
          </w:p>
        </w:tc>
        <w:tc>
          <w:tcPr>
            <w:tcW w:w="2126"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777C7B" w:rsidRDefault="00777C7B" w:rsidP="005A7B5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proofErr w:type="spellStart"/>
            <w:r>
              <w:rPr>
                <w:sz w:val="20"/>
                <w:szCs w:val="20"/>
              </w:rPr>
              <w:t>Rushey</w:t>
            </w:r>
            <w:proofErr w:type="spellEnd"/>
            <w:r>
              <w:rPr>
                <w:sz w:val="20"/>
                <w:szCs w:val="20"/>
              </w:rPr>
              <w:t xml:space="preserve"> Mead (City)</w:t>
            </w:r>
          </w:p>
        </w:tc>
        <w:tc>
          <w:tcPr>
            <w:tcW w:w="2126"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280</w:t>
            </w:r>
          </w:p>
        </w:tc>
        <w:tc>
          <w:tcPr>
            <w:tcW w:w="2552" w:type="dxa"/>
          </w:tcPr>
          <w:p w:rsidR="002E6778" w:rsidRPr="0092509A" w:rsidRDefault="00727DF4"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472B5D" w:rsidRDefault="00141DDC" w:rsidP="002E6778">
            <w:pPr>
              <w:rPr>
                <w:sz w:val="20"/>
                <w:szCs w:val="20"/>
              </w:rPr>
            </w:pPr>
            <w:r>
              <w:rPr>
                <w:sz w:val="20"/>
                <w:szCs w:val="20"/>
              </w:rPr>
              <w:t>Rutland</w:t>
            </w:r>
          </w:p>
        </w:tc>
        <w:tc>
          <w:tcPr>
            <w:tcW w:w="2126" w:type="dxa"/>
          </w:tcPr>
          <w:p w:rsidR="00472B5D"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w:t>
            </w:r>
          </w:p>
        </w:tc>
        <w:tc>
          <w:tcPr>
            <w:tcW w:w="2552" w:type="dxa"/>
          </w:tcPr>
          <w:p w:rsidR="00472B5D"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141DDC" w:rsidP="002E6778">
            <w:pPr>
              <w:rPr>
                <w:bCs w:val="0"/>
                <w:sz w:val="20"/>
                <w:szCs w:val="20"/>
              </w:rPr>
            </w:pPr>
            <w:r>
              <w:rPr>
                <w:bCs w:val="0"/>
                <w:sz w:val="20"/>
                <w:szCs w:val="20"/>
              </w:rPr>
              <w:t>Saffron (City)</w:t>
            </w:r>
          </w:p>
        </w:tc>
        <w:tc>
          <w:tcPr>
            <w:tcW w:w="2126" w:type="dxa"/>
          </w:tcPr>
          <w:p w:rsidR="00482D9C" w:rsidRPr="0092509A"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w:t>
            </w:r>
          </w:p>
        </w:tc>
        <w:tc>
          <w:tcPr>
            <w:tcW w:w="2552" w:type="dxa"/>
          </w:tcPr>
          <w:p w:rsidR="00482D9C" w:rsidRPr="0092509A"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472B5D" w:rsidRDefault="00141DDC" w:rsidP="002E6778">
            <w:pPr>
              <w:rPr>
                <w:sz w:val="20"/>
                <w:szCs w:val="20"/>
              </w:rPr>
            </w:pPr>
            <w:r>
              <w:rPr>
                <w:sz w:val="20"/>
                <w:szCs w:val="20"/>
              </w:rPr>
              <w:t>Spinney Hill (City)</w:t>
            </w:r>
          </w:p>
        </w:tc>
        <w:tc>
          <w:tcPr>
            <w:tcW w:w="2126" w:type="dxa"/>
          </w:tcPr>
          <w:p w:rsidR="006F7C61" w:rsidRDefault="00777C7B" w:rsidP="006F7C6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198</w:t>
            </w:r>
          </w:p>
        </w:tc>
        <w:tc>
          <w:tcPr>
            <w:tcW w:w="2552" w:type="dxa"/>
          </w:tcPr>
          <w:p w:rsidR="00472B5D"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r>
              <w:rPr>
                <w:sz w:val="20"/>
                <w:szCs w:val="20"/>
              </w:rPr>
              <w:t>South Knighton (City)</w:t>
            </w:r>
          </w:p>
        </w:tc>
        <w:tc>
          <w:tcPr>
            <w:tcW w:w="2126" w:type="dxa"/>
          </w:tcPr>
          <w:p w:rsidR="00777C7B" w:rsidRDefault="00777C7B" w:rsidP="006F7C6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2552"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proofErr w:type="spellStart"/>
            <w:r>
              <w:rPr>
                <w:sz w:val="20"/>
                <w:szCs w:val="20"/>
              </w:rPr>
              <w:t>Stoneygate</w:t>
            </w:r>
            <w:proofErr w:type="spellEnd"/>
            <w:r>
              <w:rPr>
                <w:sz w:val="20"/>
                <w:szCs w:val="20"/>
              </w:rPr>
              <w:t xml:space="preserve"> (City)</w:t>
            </w:r>
          </w:p>
        </w:tc>
        <w:tc>
          <w:tcPr>
            <w:tcW w:w="2126" w:type="dxa"/>
          </w:tcPr>
          <w:p w:rsidR="002E6778" w:rsidRPr="0092509A"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177</w:t>
            </w:r>
          </w:p>
        </w:tc>
        <w:tc>
          <w:tcPr>
            <w:tcW w:w="2552" w:type="dxa"/>
          </w:tcPr>
          <w:p w:rsidR="002E6778" w:rsidRPr="0092509A"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proofErr w:type="spellStart"/>
            <w:r>
              <w:rPr>
                <w:sz w:val="20"/>
                <w:szCs w:val="20"/>
              </w:rPr>
              <w:t>Thurncote</w:t>
            </w:r>
            <w:proofErr w:type="spellEnd"/>
            <w:r>
              <w:rPr>
                <w:sz w:val="20"/>
                <w:szCs w:val="20"/>
              </w:rPr>
              <w:t xml:space="preserve"> (City)</w:t>
            </w:r>
          </w:p>
        </w:tc>
        <w:tc>
          <w:tcPr>
            <w:tcW w:w="2126" w:type="dxa"/>
          </w:tcPr>
          <w:p w:rsidR="002E6778" w:rsidRPr="0092509A"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149</w:t>
            </w:r>
          </w:p>
        </w:tc>
        <w:tc>
          <w:tcPr>
            <w:tcW w:w="2552" w:type="dxa"/>
          </w:tcPr>
          <w:p w:rsidR="002E6778" w:rsidRPr="0092509A"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proofErr w:type="spellStart"/>
            <w:r>
              <w:rPr>
                <w:sz w:val="20"/>
                <w:szCs w:val="20"/>
              </w:rPr>
              <w:t>Uppingham</w:t>
            </w:r>
            <w:proofErr w:type="spellEnd"/>
            <w:r>
              <w:rPr>
                <w:sz w:val="20"/>
                <w:szCs w:val="20"/>
              </w:rPr>
              <w:t xml:space="preserve"> (Rutland)</w:t>
            </w:r>
          </w:p>
        </w:tc>
        <w:tc>
          <w:tcPr>
            <w:tcW w:w="2126"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2552" w:type="dxa"/>
          </w:tcPr>
          <w:p w:rsidR="00777C7B"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777C7B" w:rsidRDefault="00777C7B" w:rsidP="002E6778">
            <w:pPr>
              <w:rPr>
                <w:sz w:val="20"/>
                <w:szCs w:val="20"/>
              </w:rPr>
            </w:pPr>
            <w:r>
              <w:rPr>
                <w:sz w:val="20"/>
                <w:szCs w:val="20"/>
              </w:rPr>
              <w:t>West End (City)</w:t>
            </w:r>
          </w:p>
        </w:tc>
        <w:tc>
          <w:tcPr>
            <w:tcW w:w="2126"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2552" w:type="dxa"/>
          </w:tcPr>
          <w:p w:rsidR="00777C7B"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777C7B" w:rsidRPr="0092509A" w:rsidTr="005A7B59">
        <w:trPr>
          <w:trHeight w:val="6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proofErr w:type="spellStart"/>
            <w:r>
              <w:rPr>
                <w:sz w:val="20"/>
                <w:szCs w:val="20"/>
              </w:rPr>
              <w:t>Westcotes</w:t>
            </w:r>
            <w:proofErr w:type="spellEnd"/>
            <w:r>
              <w:rPr>
                <w:sz w:val="20"/>
                <w:szCs w:val="20"/>
              </w:rPr>
              <w:t xml:space="preserve"> (City)</w:t>
            </w:r>
          </w:p>
        </w:tc>
        <w:tc>
          <w:tcPr>
            <w:tcW w:w="2126" w:type="dxa"/>
          </w:tcPr>
          <w:p w:rsidR="002E6778" w:rsidRPr="0092509A"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183</w:t>
            </w:r>
          </w:p>
        </w:tc>
        <w:tc>
          <w:tcPr>
            <w:tcW w:w="2552" w:type="dxa"/>
          </w:tcPr>
          <w:p w:rsidR="002E6778" w:rsidRPr="0092509A"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141DDC" w:rsidP="002E6778">
            <w:pPr>
              <w:rPr>
                <w:sz w:val="20"/>
                <w:szCs w:val="20"/>
              </w:rPr>
            </w:pPr>
            <w:r>
              <w:rPr>
                <w:sz w:val="20"/>
                <w:szCs w:val="20"/>
              </w:rPr>
              <w:t xml:space="preserve">Western Park (City) </w:t>
            </w:r>
          </w:p>
        </w:tc>
        <w:tc>
          <w:tcPr>
            <w:tcW w:w="2126" w:type="dxa"/>
          </w:tcPr>
          <w:p w:rsidR="002E6778" w:rsidRPr="0092509A"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233</w:t>
            </w:r>
          </w:p>
        </w:tc>
        <w:tc>
          <w:tcPr>
            <w:tcW w:w="2552" w:type="dxa"/>
          </w:tcPr>
          <w:p w:rsidR="002E6778" w:rsidRPr="0092509A" w:rsidRDefault="00777C7B" w:rsidP="0042236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141DDC" w:rsidRDefault="00141DDC" w:rsidP="002E6778">
            <w:pPr>
              <w:rPr>
                <w:sz w:val="20"/>
                <w:szCs w:val="20"/>
              </w:rPr>
            </w:pPr>
            <w:r>
              <w:rPr>
                <w:sz w:val="20"/>
                <w:szCs w:val="20"/>
              </w:rPr>
              <w:t xml:space="preserve">Wycliffe (City) </w:t>
            </w:r>
          </w:p>
        </w:tc>
        <w:tc>
          <w:tcPr>
            <w:tcW w:w="2126" w:type="dxa"/>
          </w:tcPr>
          <w:p w:rsidR="00141DDC"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p>
        </w:tc>
        <w:tc>
          <w:tcPr>
            <w:tcW w:w="2552" w:type="dxa"/>
          </w:tcPr>
          <w:p w:rsidR="00141DDC" w:rsidRDefault="00777C7B" w:rsidP="0042236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520804" w:rsidRPr="006F7C61" w:rsidRDefault="00520804" w:rsidP="00520804">
            <w:pPr>
              <w:rPr>
                <w:sz w:val="20"/>
                <w:szCs w:val="20"/>
              </w:rPr>
            </w:pPr>
            <w:r w:rsidRPr="006F7C61">
              <w:rPr>
                <w:sz w:val="20"/>
                <w:szCs w:val="20"/>
              </w:rPr>
              <w:t xml:space="preserve">LEICESTER CITY </w:t>
            </w:r>
          </w:p>
        </w:tc>
        <w:tc>
          <w:tcPr>
            <w:tcW w:w="2126" w:type="dxa"/>
          </w:tcPr>
          <w:p w:rsidR="00520804" w:rsidRPr="006F7C61" w:rsidRDefault="00777C7B" w:rsidP="0052080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6,549</w:t>
            </w:r>
          </w:p>
        </w:tc>
        <w:tc>
          <w:tcPr>
            <w:tcW w:w="2552" w:type="dxa"/>
          </w:tcPr>
          <w:p w:rsidR="00520804" w:rsidRPr="006F7C61" w:rsidRDefault="00777C7B" w:rsidP="0052080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1,193</w:t>
            </w:r>
          </w:p>
        </w:tc>
      </w:tr>
      <w:tr w:rsidR="00777C7B" w:rsidRPr="0092509A" w:rsidTr="0092509A">
        <w:tc>
          <w:tcPr>
            <w:cnfStyle w:val="001000000000" w:firstRow="0" w:lastRow="0" w:firstColumn="1" w:lastColumn="0" w:oddVBand="0" w:evenVBand="0" w:oddHBand="0" w:evenHBand="0" w:firstRowFirstColumn="0" w:firstRowLastColumn="0" w:lastRowFirstColumn="0" w:lastRowLastColumn="0"/>
            <w:tcW w:w="4673" w:type="dxa"/>
          </w:tcPr>
          <w:p w:rsidR="00520804" w:rsidRPr="006F7C61" w:rsidRDefault="00520804" w:rsidP="00520804">
            <w:pPr>
              <w:rPr>
                <w:sz w:val="20"/>
                <w:szCs w:val="20"/>
              </w:rPr>
            </w:pPr>
            <w:r w:rsidRPr="006F7C61">
              <w:rPr>
                <w:sz w:val="20"/>
                <w:szCs w:val="20"/>
              </w:rPr>
              <w:t xml:space="preserve">LEICESTERSHIRE </w:t>
            </w:r>
          </w:p>
        </w:tc>
        <w:tc>
          <w:tcPr>
            <w:tcW w:w="2126" w:type="dxa"/>
          </w:tcPr>
          <w:p w:rsidR="00520804" w:rsidRPr="006F7C61" w:rsidRDefault="00777C7B" w:rsidP="0052080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5,081</w:t>
            </w:r>
          </w:p>
        </w:tc>
        <w:tc>
          <w:tcPr>
            <w:tcW w:w="2552" w:type="dxa"/>
          </w:tcPr>
          <w:p w:rsidR="00520804" w:rsidRPr="006F7C61" w:rsidRDefault="00777C7B" w:rsidP="0052080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758</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520804" w:rsidRPr="006F7C61" w:rsidRDefault="00520804" w:rsidP="00520804">
            <w:pPr>
              <w:rPr>
                <w:sz w:val="20"/>
                <w:szCs w:val="20"/>
              </w:rPr>
            </w:pPr>
            <w:r w:rsidRPr="006F7C61">
              <w:rPr>
                <w:sz w:val="20"/>
                <w:szCs w:val="20"/>
              </w:rPr>
              <w:lastRenderedPageBreak/>
              <w:t>RUTLAND</w:t>
            </w:r>
          </w:p>
        </w:tc>
        <w:tc>
          <w:tcPr>
            <w:tcW w:w="2126" w:type="dxa"/>
          </w:tcPr>
          <w:p w:rsidR="00520804" w:rsidRPr="006F7C61" w:rsidRDefault="00777C7B" w:rsidP="0052080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216</w:t>
            </w:r>
          </w:p>
        </w:tc>
        <w:tc>
          <w:tcPr>
            <w:tcW w:w="2552" w:type="dxa"/>
          </w:tcPr>
          <w:p w:rsidR="00520804" w:rsidRPr="006F7C61" w:rsidRDefault="00777C7B" w:rsidP="0052080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40</w:t>
            </w:r>
          </w:p>
        </w:tc>
      </w:tr>
      <w:tr w:rsidR="00777C7B" w:rsidRPr="0092509A" w:rsidTr="00A665BC">
        <w:trPr>
          <w:trHeight w:val="263"/>
        </w:trPr>
        <w:tc>
          <w:tcPr>
            <w:cnfStyle w:val="001000000000" w:firstRow="0" w:lastRow="0" w:firstColumn="1" w:lastColumn="0" w:oddVBand="0" w:evenVBand="0" w:oddHBand="0" w:evenHBand="0" w:firstRowFirstColumn="0" w:firstRowLastColumn="0" w:lastRowFirstColumn="0" w:lastRowLastColumn="0"/>
            <w:tcW w:w="4673" w:type="dxa"/>
          </w:tcPr>
          <w:p w:rsidR="00520804" w:rsidRPr="006F7C61" w:rsidRDefault="00520804" w:rsidP="00520804">
            <w:pPr>
              <w:rPr>
                <w:sz w:val="20"/>
                <w:szCs w:val="20"/>
              </w:rPr>
            </w:pPr>
            <w:r w:rsidRPr="006F7C61">
              <w:rPr>
                <w:sz w:val="20"/>
                <w:szCs w:val="20"/>
              </w:rPr>
              <w:t>OTHER THAN LEICESTER</w:t>
            </w:r>
          </w:p>
        </w:tc>
        <w:tc>
          <w:tcPr>
            <w:tcW w:w="2126" w:type="dxa"/>
          </w:tcPr>
          <w:p w:rsidR="00520804" w:rsidRPr="006F7C61" w:rsidRDefault="00777C7B" w:rsidP="0052080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398</w:t>
            </w:r>
          </w:p>
        </w:tc>
        <w:tc>
          <w:tcPr>
            <w:tcW w:w="2552" w:type="dxa"/>
          </w:tcPr>
          <w:p w:rsidR="00520804" w:rsidRPr="006F7C61" w:rsidRDefault="00777C7B" w:rsidP="00520804">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10</w:t>
            </w:r>
          </w:p>
        </w:tc>
      </w:tr>
      <w:tr w:rsidR="00777C7B" w:rsidRPr="0092509A" w:rsidTr="00925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520804" w:rsidRPr="006F7C61" w:rsidRDefault="00520804" w:rsidP="00520804">
            <w:pPr>
              <w:rPr>
                <w:bCs w:val="0"/>
                <w:sz w:val="20"/>
                <w:szCs w:val="20"/>
              </w:rPr>
            </w:pPr>
            <w:r w:rsidRPr="006F7C61">
              <w:rPr>
                <w:bCs w:val="0"/>
                <w:sz w:val="20"/>
                <w:szCs w:val="20"/>
              </w:rPr>
              <w:t>UNKNOWN</w:t>
            </w:r>
          </w:p>
        </w:tc>
        <w:tc>
          <w:tcPr>
            <w:tcW w:w="2126" w:type="dxa"/>
          </w:tcPr>
          <w:p w:rsidR="00520804" w:rsidRPr="006F7C61" w:rsidRDefault="00777C7B" w:rsidP="0052080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570</w:t>
            </w:r>
          </w:p>
        </w:tc>
        <w:tc>
          <w:tcPr>
            <w:tcW w:w="2552" w:type="dxa"/>
          </w:tcPr>
          <w:p w:rsidR="00520804" w:rsidRPr="006F7C61" w:rsidRDefault="00777C7B" w:rsidP="00520804">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53</w:t>
            </w:r>
          </w:p>
        </w:tc>
      </w:tr>
    </w:tbl>
    <w:p w:rsidR="006668A0" w:rsidRPr="0092509A" w:rsidRDefault="006668A0" w:rsidP="006668A0">
      <w:pPr>
        <w:rPr>
          <w:sz w:val="20"/>
          <w:szCs w:val="20"/>
        </w:rPr>
      </w:pPr>
    </w:p>
    <w:p w:rsidR="00482D9C" w:rsidRPr="006668A0" w:rsidRDefault="00482D9C" w:rsidP="006668A0">
      <w:r>
        <w:rPr>
          <w:noProof/>
          <w:lang w:eastAsia="en-GB"/>
        </w:rPr>
        <w:drawing>
          <wp:inline distT="0" distB="0" distL="0" distR="0" wp14:anchorId="4D65B462" wp14:editId="51C5FC47">
            <wp:extent cx="6114415" cy="8404529"/>
            <wp:effectExtent l="0" t="0" r="63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68A0" w:rsidRDefault="00CE38D7" w:rsidP="00CE38D7">
      <w:pPr>
        <w:pStyle w:val="Heading1"/>
      </w:pPr>
      <w:bookmarkStart w:id="19" w:name="_Toc500170266"/>
      <w:r>
        <w:lastRenderedPageBreak/>
        <w:t>10. Identified Needs</w:t>
      </w:r>
      <w:bookmarkEnd w:id="19"/>
      <w:r>
        <w:t xml:space="preserve"> </w:t>
      </w:r>
    </w:p>
    <w:p w:rsidR="00835D5F" w:rsidRDefault="00CE38D7" w:rsidP="00CE38D7">
      <w:pPr>
        <w:spacing w:after="160" w:line="259" w:lineRule="auto"/>
        <w:rPr>
          <w:rFonts w:eastAsiaTheme="minorEastAsia"/>
        </w:rPr>
      </w:pPr>
      <w:r w:rsidRPr="00CE38D7">
        <w:rPr>
          <w:rFonts w:eastAsiaTheme="minorEastAsia"/>
        </w:rPr>
        <w:t>The following charts show the need levels identified at the start, review and end stage of support, in relation to each of the areas of the Needs Assessment. These charts refle</w:t>
      </w:r>
      <w:r w:rsidR="0021622A">
        <w:rPr>
          <w:rFonts w:eastAsiaTheme="minorEastAsia"/>
        </w:rPr>
        <w:t xml:space="preserve">ct cases that had been closed </w:t>
      </w:r>
      <w:r w:rsidR="005A2EEE">
        <w:rPr>
          <w:rFonts w:eastAsiaTheme="minorEastAsia"/>
        </w:rPr>
        <w:t xml:space="preserve">September 2016 and </w:t>
      </w:r>
      <w:r w:rsidR="006F7C61">
        <w:rPr>
          <w:rFonts w:eastAsiaTheme="minorEastAsia"/>
        </w:rPr>
        <w:t>October</w:t>
      </w:r>
      <w:r w:rsidR="00292FBA">
        <w:rPr>
          <w:rFonts w:eastAsiaTheme="minorEastAsia"/>
        </w:rPr>
        <w:t xml:space="preserve"> 2017</w:t>
      </w:r>
      <w:r w:rsidRPr="00CE38D7">
        <w:rPr>
          <w:rFonts w:eastAsiaTheme="minorEastAsia"/>
        </w:rPr>
        <w:t xml:space="preserve"> and received enhanced support. </w:t>
      </w:r>
    </w:p>
    <w:p w:rsidR="00CE38D7" w:rsidRDefault="00835D5F" w:rsidP="00835D5F">
      <w:pPr>
        <w:pStyle w:val="Heading2"/>
        <w:rPr>
          <w:rFonts w:eastAsiaTheme="minorEastAsia"/>
        </w:rPr>
      </w:pPr>
      <w:bookmarkStart w:id="20" w:name="_Toc500170267"/>
      <w:r>
        <w:rPr>
          <w:rFonts w:eastAsiaTheme="minorEastAsia"/>
        </w:rPr>
        <w:t>Personal Safety</w:t>
      </w:r>
      <w:bookmarkEnd w:id="20"/>
      <w:r>
        <w:rPr>
          <w:rFonts w:eastAsiaTheme="minorEastAsia"/>
        </w:rPr>
        <w:t xml:space="preserve"> </w:t>
      </w:r>
    </w:p>
    <w:p w:rsidR="00835D5F" w:rsidRPr="00835D5F" w:rsidRDefault="009669F6" w:rsidP="00835D5F">
      <w:r>
        <w:rPr>
          <w:noProof/>
          <w:lang w:eastAsia="en-GB"/>
        </w:rPr>
        <w:drawing>
          <wp:inline distT="0" distB="0" distL="0" distR="0" wp14:anchorId="7CD12314" wp14:editId="7E3BADB3">
            <wp:extent cx="6042991" cy="3228230"/>
            <wp:effectExtent l="0" t="0" r="15240"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E38D7" w:rsidRDefault="00835D5F" w:rsidP="00835D5F">
      <w:pPr>
        <w:pStyle w:val="Heading2"/>
      </w:pPr>
      <w:bookmarkStart w:id="21" w:name="_Toc500170268"/>
      <w:r>
        <w:t>Mental and Physical Health</w:t>
      </w:r>
      <w:bookmarkEnd w:id="21"/>
      <w:r>
        <w:t xml:space="preserve"> </w:t>
      </w:r>
    </w:p>
    <w:p w:rsidR="00835D5F" w:rsidRPr="00835D5F" w:rsidRDefault="00835D5F" w:rsidP="00835D5F">
      <w:r>
        <w:rPr>
          <w:noProof/>
          <w:lang w:eastAsia="en-GB"/>
        </w:rPr>
        <w:drawing>
          <wp:inline distT="0" distB="0" distL="0" distR="0" wp14:anchorId="1DB42EF5" wp14:editId="247A3204">
            <wp:extent cx="6042660" cy="3140765"/>
            <wp:effectExtent l="0" t="0" r="1524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68A0" w:rsidRPr="006668A0" w:rsidRDefault="006668A0" w:rsidP="006668A0"/>
    <w:p w:rsidR="006668A0" w:rsidRPr="006668A0" w:rsidRDefault="006668A0" w:rsidP="006668A0"/>
    <w:p w:rsidR="006668A0" w:rsidRDefault="00835D5F" w:rsidP="00835D5F">
      <w:pPr>
        <w:pStyle w:val="Heading2"/>
      </w:pPr>
      <w:bookmarkStart w:id="22" w:name="_Toc500170269"/>
      <w:r>
        <w:lastRenderedPageBreak/>
        <w:t>Shelter and Accommodation</w:t>
      </w:r>
      <w:bookmarkEnd w:id="22"/>
      <w:r>
        <w:t xml:space="preserve"> </w:t>
      </w:r>
    </w:p>
    <w:p w:rsidR="00835D5F" w:rsidRDefault="00835D5F" w:rsidP="00835D5F">
      <w:r>
        <w:rPr>
          <w:noProof/>
          <w:lang w:eastAsia="en-GB"/>
        </w:rPr>
        <w:drawing>
          <wp:inline distT="0" distB="0" distL="0" distR="0" wp14:anchorId="7EDD8217" wp14:editId="12D4A6DE">
            <wp:extent cx="6074796" cy="3236181"/>
            <wp:effectExtent l="0" t="0" r="2540" b="25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35D5F" w:rsidRDefault="00835D5F" w:rsidP="00835D5F">
      <w:pPr>
        <w:pStyle w:val="Heading2"/>
      </w:pPr>
      <w:bookmarkStart w:id="23" w:name="_Toc500170270"/>
      <w:r>
        <w:t>Drugs, Alcohol and Other Harmful Behaviours</w:t>
      </w:r>
      <w:bookmarkEnd w:id="23"/>
      <w:r>
        <w:t xml:space="preserve"> </w:t>
      </w:r>
    </w:p>
    <w:p w:rsidR="00835D5F" w:rsidRDefault="00835D5F" w:rsidP="00835D5F">
      <w:r>
        <w:rPr>
          <w:noProof/>
          <w:lang w:eastAsia="en-GB"/>
        </w:rPr>
        <w:drawing>
          <wp:inline distT="0" distB="0" distL="0" distR="0" wp14:anchorId="03124587" wp14:editId="6F020C54">
            <wp:extent cx="6074410" cy="3848431"/>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35D5F" w:rsidRDefault="00835D5F" w:rsidP="00835D5F"/>
    <w:p w:rsidR="00835D5F" w:rsidRDefault="00835D5F" w:rsidP="00835D5F"/>
    <w:p w:rsidR="00835D5F" w:rsidRDefault="00835D5F" w:rsidP="00835D5F"/>
    <w:p w:rsidR="00835D5F" w:rsidRDefault="00835D5F" w:rsidP="00835D5F"/>
    <w:p w:rsidR="00835D5F" w:rsidRDefault="00835D5F" w:rsidP="00835D5F">
      <w:pPr>
        <w:pStyle w:val="Heading2"/>
      </w:pPr>
      <w:bookmarkStart w:id="24" w:name="_Toc500170271"/>
      <w:r>
        <w:lastRenderedPageBreak/>
        <w:t>Family</w:t>
      </w:r>
      <w:bookmarkEnd w:id="24"/>
      <w:r>
        <w:t xml:space="preserve"> </w:t>
      </w:r>
    </w:p>
    <w:p w:rsidR="00835D5F" w:rsidRPr="00835D5F" w:rsidRDefault="00835D5F" w:rsidP="00835D5F">
      <w:r>
        <w:rPr>
          <w:noProof/>
          <w:lang w:eastAsia="en-GB"/>
        </w:rPr>
        <w:drawing>
          <wp:inline distT="0" distB="0" distL="0" distR="0" wp14:anchorId="3C9FECE0" wp14:editId="5E4F2F9B">
            <wp:extent cx="6241774" cy="3522428"/>
            <wp:effectExtent l="0" t="0" r="698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C0063" w:rsidRDefault="003C0063" w:rsidP="006668A0"/>
    <w:p w:rsidR="00835D5F" w:rsidRDefault="00835D5F" w:rsidP="00835D5F">
      <w:pPr>
        <w:pStyle w:val="Heading2"/>
      </w:pPr>
      <w:bookmarkStart w:id="25" w:name="_Toc500170272"/>
      <w:r>
        <w:t>Education and Employment</w:t>
      </w:r>
      <w:bookmarkEnd w:id="25"/>
      <w:r>
        <w:t xml:space="preserve"> </w:t>
      </w:r>
    </w:p>
    <w:p w:rsidR="00835D5F" w:rsidRDefault="00835D5F" w:rsidP="005E77FA">
      <w:pPr>
        <w:tabs>
          <w:tab w:val="left" w:pos="5954"/>
        </w:tabs>
      </w:pPr>
      <w:r>
        <w:rPr>
          <w:noProof/>
          <w:lang w:eastAsia="en-GB"/>
        </w:rPr>
        <w:drawing>
          <wp:inline distT="0" distB="0" distL="0" distR="0" wp14:anchorId="1EE22C2C" wp14:editId="65C545CF">
            <wp:extent cx="6241415" cy="3681454"/>
            <wp:effectExtent l="0" t="0" r="6985"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35D5F" w:rsidRDefault="00835D5F" w:rsidP="00835D5F"/>
    <w:p w:rsidR="00835D5F" w:rsidRDefault="00835D5F" w:rsidP="00835D5F"/>
    <w:p w:rsidR="00835D5F" w:rsidRDefault="00835D5F" w:rsidP="00835D5F"/>
    <w:p w:rsidR="00835D5F" w:rsidRDefault="00041344" w:rsidP="00835D5F">
      <w:pPr>
        <w:pStyle w:val="Heading2"/>
      </w:pPr>
      <w:bookmarkStart w:id="26" w:name="_Toc500170273"/>
      <w:r>
        <w:lastRenderedPageBreak/>
        <w:t>Finance and Benefits</w:t>
      </w:r>
      <w:bookmarkEnd w:id="26"/>
      <w:r>
        <w:t xml:space="preserve"> </w:t>
      </w:r>
    </w:p>
    <w:p w:rsidR="00041344" w:rsidRDefault="00041344" w:rsidP="00041344">
      <w:r>
        <w:rPr>
          <w:noProof/>
          <w:lang w:eastAsia="en-GB"/>
        </w:rPr>
        <w:drawing>
          <wp:inline distT="0" distB="0" distL="0" distR="0" wp14:anchorId="5C140E62" wp14:editId="0878ACEE">
            <wp:extent cx="6233822" cy="3880237"/>
            <wp:effectExtent l="0" t="0" r="1460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41344" w:rsidRDefault="00041344" w:rsidP="00041344"/>
    <w:p w:rsidR="00041344" w:rsidRDefault="00041344" w:rsidP="00041344">
      <w:pPr>
        <w:pStyle w:val="Heading2"/>
      </w:pPr>
      <w:bookmarkStart w:id="27" w:name="_Toc500170274"/>
      <w:r>
        <w:t>Outlook Attitudes and Beliefs</w:t>
      </w:r>
      <w:bookmarkEnd w:id="27"/>
      <w:r>
        <w:t xml:space="preserve"> </w:t>
      </w:r>
    </w:p>
    <w:p w:rsidR="00041344" w:rsidRDefault="00041344" w:rsidP="00041344">
      <w:r>
        <w:rPr>
          <w:noProof/>
          <w:lang w:eastAsia="en-GB"/>
        </w:rPr>
        <w:drawing>
          <wp:inline distT="0" distB="0" distL="0" distR="0" wp14:anchorId="188EEC72" wp14:editId="3E119DEB">
            <wp:extent cx="6170212" cy="3617844"/>
            <wp:effectExtent l="0" t="0" r="2540" b="19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41344" w:rsidRDefault="00041344" w:rsidP="00041344"/>
    <w:p w:rsidR="00041344" w:rsidRDefault="00041344" w:rsidP="00041344"/>
    <w:p w:rsidR="00041344" w:rsidRDefault="00041344" w:rsidP="00041344">
      <w:pPr>
        <w:pStyle w:val="Heading2"/>
      </w:pPr>
      <w:bookmarkStart w:id="28" w:name="_Toc500170275"/>
      <w:r>
        <w:lastRenderedPageBreak/>
        <w:t>Social Interactions</w:t>
      </w:r>
      <w:bookmarkEnd w:id="28"/>
      <w:r>
        <w:t xml:space="preserve"> </w:t>
      </w:r>
    </w:p>
    <w:p w:rsidR="00041344" w:rsidRDefault="00041344" w:rsidP="00041344">
      <w:r>
        <w:rPr>
          <w:noProof/>
          <w:lang w:eastAsia="en-GB"/>
        </w:rPr>
        <w:drawing>
          <wp:inline distT="0" distB="0" distL="0" distR="0" wp14:anchorId="44E4054E" wp14:editId="7AAC5F5E">
            <wp:extent cx="6202017" cy="3498574"/>
            <wp:effectExtent l="0" t="0" r="889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30F74" w:rsidRDefault="00D30F74" w:rsidP="00041344"/>
    <w:p w:rsidR="00D30F74" w:rsidRDefault="00D30F74" w:rsidP="00D30F74">
      <w:pPr>
        <w:pStyle w:val="Heading2"/>
      </w:pPr>
      <w:bookmarkStart w:id="29" w:name="_Toc500170276"/>
      <w:r>
        <w:t>Any Other Issues</w:t>
      </w:r>
      <w:bookmarkEnd w:id="29"/>
      <w:r>
        <w:t xml:space="preserve"> </w:t>
      </w:r>
    </w:p>
    <w:p w:rsidR="00D30F74" w:rsidRDefault="00D30F74" w:rsidP="00D30F74">
      <w:r>
        <w:rPr>
          <w:noProof/>
          <w:lang w:eastAsia="en-GB"/>
        </w:rPr>
        <w:drawing>
          <wp:inline distT="0" distB="0" distL="0" distR="0" wp14:anchorId="41D397C7" wp14:editId="6D72863B">
            <wp:extent cx="6201410" cy="3514476"/>
            <wp:effectExtent l="0" t="0" r="8890" b="1016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0F74" w:rsidRDefault="00D30F74" w:rsidP="00D30F74"/>
    <w:p w:rsidR="00D30F74" w:rsidRDefault="00D30F74" w:rsidP="00D30F74">
      <w:pPr>
        <w:tabs>
          <w:tab w:val="left" w:pos="989"/>
        </w:tabs>
      </w:pPr>
      <w:r>
        <w:tab/>
      </w:r>
    </w:p>
    <w:p w:rsidR="00D30F74" w:rsidRDefault="00D30F74" w:rsidP="00D30F74">
      <w:pPr>
        <w:tabs>
          <w:tab w:val="left" w:pos="989"/>
        </w:tabs>
      </w:pPr>
    </w:p>
    <w:p w:rsidR="00D30F74" w:rsidRDefault="00D30F74" w:rsidP="00D30F74">
      <w:pPr>
        <w:tabs>
          <w:tab w:val="left" w:pos="989"/>
        </w:tabs>
      </w:pPr>
    </w:p>
    <w:p w:rsidR="00D30F74" w:rsidRDefault="00D30F74" w:rsidP="00D30F74">
      <w:pPr>
        <w:tabs>
          <w:tab w:val="left" w:pos="989"/>
        </w:tabs>
        <w:sectPr w:rsidR="00D30F74" w:rsidSect="00835DAA">
          <w:pgSz w:w="11906" w:h="16838"/>
          <w:pgMar w:top="1276" w:right="851" w:bottom="992" w:left="1134" w:header="284" w:footer="403" w:gutter="0"/>
          <w:cols w:space="708"/>
          <w:docGrid w:linePitch="360"/>
        </w:sectPr>
      </w:pPr>
    </w:p>
    <w:p w:rsidR="00D30F74" w:rsidRDefault="00D30F74" w:rsidP="00D30F74">
      <w:pPr>
        <w:pStyle w:val="Heading1"/>
      </w:pPr>
      <w:bookmarkStart w:id="30" w:name="_Toc500170277"/>
      <w:r>
        <w:lastRenderedPageBreak/>
        <w:t>11. Support Provided for Closed Cases that Received Enhanced Support</w:t>
      </w:r>
      <w:bookmarkEnd w:id="30"/>
      <w:r>
        <w:t xml:space="preserve"> </w:t>
      </w:r>
    </w:p>
    <w:p w:rsidR="00D30F74" w:rsidRDefault="00D30F74" w:rsidP="00D30F74">
      <w:r>
        <w:t xml:space="preserve">The following charts illustrate the specific action taken by caseworkers to address the needs. </w:t>
      </w:r>
    </w:p>
    <w:p w:rsidR="00D30F74" w:rsidRDefault="00D30F74" w:rsidP="00D30F74">
      <w:pPr>
        <w:sectPr w:rsidR="00D30F74" w:rsidSect="00835DAA">
          <w:pgSz w:w="16838" w:h="11906" w:orient="landscape"/>
          <w:pgMar w:top="1134" w:right="1276" w:bottom="851" w:left="992" w:header="284" w:footer="403" w:gutter="0"/>
          <w:cols w:space="708"/>
          <w:docGrid w:linePitch="360"/>
        </w:sectPr>
      </w:pPr>
      <w:r>
        <w:rPr>
          <w:noProof/>
          <w:lang w:eastAsia="en-GB"/>
        </w:rPr>
        <w:drawing>
          <wp:inline distT="0" distB="0" distL="0" distR="0" wp14:anchorId="5D947693" wp14:editId="2395CA08">
            <wp:extent cx="9493857" cy="5573864"/>
            <wp:effectExtent l="0" t="0" r="12700" b="82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0F74" w:rsidRDefault="00D30F74" w:rsidP="00D30F74">
      <w:pPr>
        <w:pStyle w:val="Heading1"/>
      </w:pPr>
      <w:bookmarkStart w:id="31" w:name="_Toc500170278"/>
      <w:r>
        <w:lastRenderedPageBreak/>
        <w:t>12. Length of Support</w:t>
      </w:r>
      <w:bookmarkEnd w:id="31"/>
      <w:r>
        <w:t xml:space="preserve"> </w:t>
      </w:r>
    </w:p>
    <w:p w:rsidR="00D30F74" w:rsidRDefault="00D30F74" w:rsidP="00D30F74">
      <w:r>
        <w:t>This chart illustrates the length of support provided to service users who received enhanced support, and</w:t>
      </w:r>
      <w:r w:rsidR="00100F2D">
        <w:t xml:space="preserve"> whose cases were then closed </w:t>
      </w:r>
      <w:r w:rsidR="00001294">
        <w:t xml:space="preserve">between September and </w:t>
      </w:r>
      <w:r w:rsidR="00E753F1">
        <w:t>October</w:t>
      </w:r>
      <w:r w:rsidR="003F6F47">
        <w:t xml:space="preserve"> </w:t>
      </w:r>
      <w:r w:rsidR="00FA3165">
        <w:t>2017</w:t>
      </w:r>
      <w:r>
        <w:t xml:space="preserve"> </w:t>
      </w:r>
    </w:p>
    <w:p w:rsidR="00D30F74" w:rsidRDefault="00D30F74" w:rsidP="00D30F74">
      <w:r>
        <w:rPr>
          <w:noProof/>
          <w:lang w:eastAsia="en-GB"/>
        </w:rPr>
        <w:drawing>
          <wp:inline distT="0" distB="0" distL="0" distR="0" wp14:anchorId="44746C93" wp14:editId="41760ACF">
            <wp:extent cx="6162261" cy="5096786"/>
            <wp:effectExtent l="0" t="0" r="10160" b="889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30F74" w:rsidRDefault="00D30F74" w:rsidP="00D30F74"/>
    <w:p w:rsidR="00D30F74" w:rsidRDefault="00D30F74" w:rsidP="00D30F74"/>
    <w:p w:rsidR="00D30F74" w:rsidRDefault="00D30F74" w:rsidP="00D30F74"/>
    <w:p w:rsidR="00D30F74" w:rsidRDefault="00D30F74" w:rsidP="00D30F74"/>
    <w:p w:rsidR="00D30F74" w:rsidRDefault="00D30F74" w:rsidP="00D30F74"/>
    <w:p w:rsidR="009669F6" w:rsidRDefault="009669F6" w:rsidP="00D30F74"/>
    <w:p w:rsidR="009669F6" w:rsidRDefault="009669F6" w:rsidP="00D30F74"/>
    <w:p w:rsidR="009669F6" w:rsidRDefault="009669F6" w:rsidP="00D30F74"/>
    <w:p w:rsidR="009669F6" w:rsidRDefault="009669F6" w:rsidP="00D30F74"/>
    <w:p w:rsidR="009669F6" w:rsidRDefault="009669F6" w:rsidP="00D30F74"/>
    <w:p w:rsidR="009669F6" w:rsidRDefault="009669F6" w:rsidP="009669F6">
      <w:pPr>
        <w:pStyle w:val="Heading1"/>
        <w:sectPr w:rsidR="009669F6" w:rsidSect="00835DAA">
          <w:pgSz w:w="11906" w:h="16838"/>
          <w:pgMar w:top="1276" w:right="851" w:bottom="992" w:left="1134" w:header="284" w:footer="403" w:gutter="0"/>
          <w:cols w:space="708"/>
          <w:docGrid w:linePitch="360"/>
        </w:sectPr>
      </w:pPr>
    </w:p>
    <w:p w:rsidR="009669F6" w:rsidRDefault="009669F6" w:rsidP="009669F6">
      <w:pPr>
        <w:pStyle w:val="Heading1"/>
      </w:pPr>
      <w:bookmarkStart w:id="32" w:name="_Toc500170279"/>
      <w:r>
        <w:lastRenderedPageBreak/>
        <w:t>13. Line Graphs</w:t>
      </w:r>
      <w:bookmarkEnd w:id="32"/>
    </w:p>
    <w:p w:rsidR="009669F6" w:rsidRDefault="009669F6" w:rsidP="00CD400B">
      <w:pPr>
        <w:pStyle w:val="NoSpacing"/>
      </w:pPr>
      <w:r w:rsidRPr="00CD400B">
        <w:rPr>
          <w:rStyle w:val="SubtleEmphasis"/>
          <w:noProof/>
          <w:lang w:eastAsia="en-GB"/>
        </w:rPr>
        <w:drawing>
          <wp:inline distT="0" distB="0" distL="0" distR="0" wp14:anchorId="2BBFF013" wp14:editId="7D69CB49">
            <wp:extent cx="9376012" cy="5738884"/>
            <wp:effectExtent l="0" t="0" r="15875"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669F6" w:rsidRDefault="009669F6" w:rsidP="009669F6">
      <w:r>
        <w:rPr>
          <w:noProof/>
          <w:lang w:eastAsia="en-GB"/>
        </w:rPr>
        <w:lastRenderedPageBreak/>
        <w:drawing>
          <wp:inline distT="0" distB="0" distL="0" distR="0" wp14:anchorId="144EE965" wp14:editId="325C73FA">
            <wp:extent cx="9444251" cy="5725160"/>
            <wp:effectExtent l="0" t="0" r="5080" b="889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669F6" w:rsidRDefault="009669F6" w:rsidP="009669F6"/>
    <w:p w:rsidR="009669F6" w:rsidRDefault="00C900AC" w:rsidP="009669F6">
      <w:r>
        <w:rPr>
          <w:noProof/>
          <w:lang w:eastAsia="en-GB"/>
        </w:rPr>
        <w:lastRenderedPageBreak/>
        <w:drawing>
          <wp:inline distT="0" distB="0" distL="0" distR="0" wp14:anchorId="1BBCBEEF" wp14:editId="32F59F35">
            <wp:extent cx="9083615" cy="5917721"/>
            <wp:effectExtent l="0" t="0" r="3810"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900AC" w:rsidRDefault="00C900AC" w:rsidP="009669F6"/>
    <w:p w:rsidR="00C900AC" w:rsidRDefault="00C900AC" w:rsidP="009669F6">
      <w:r>
        <w:rPr>
          <w:noProof/>
          <w:lang w:eastAsia="en-GB"/>
        </w:rPr>
        <w:lastRenderedPageBreak/>
        <w:drawing>
          <wp:inline distT="0" distB="0" distL="0" distR="0" wp14:anchorId="5109550F" wp14:editId="6E10EEBF">
            <wp:extent cx="8936355" cy="5589917"/>
            <wp:effectExtent l="0" t="0" r="17145"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900AC" w:rsidRDefault="00C900AC" w:rsidP="009669F6"/>
    <w:p w:rsidR="00C900AC" w:rsidRDefault="00C900AC" w:rsidP="009669F6"/>
    <w:p w:rsidR="00C900AC" w:rsidRDefault="00C900AC" w:rsidP="00CD400B">
      <w:pPr>
        <w:pStyle w:val="Heading2"/>
      </w:pPr>
      <w:bookmarkStart w:id="33" w:name="_Toc500170280"/>
      <w:r>
        <w:rPr>
          <w:noProof/>
          <w:lang w:eastAsia="en-GB"/>
        </w:rPr>
        <w:lastRenderedPageBreak/>
        <w:drawing>
          <wp:anchor distT="0" distB="0" distL="114300" distR="114300" simplePos="0" relativeHeight="251717632" behindDoc="1" locked="0" layoutInCell="1" allowOverlap="1">
            <wp:simplePos x="0" y="0"/>
            <wp:positionH relativeFrom="column">
              <wp:posOffset>-2540</wp:posOffset>
            </wp:positionH>
            <wp:positionV relativeFrom="paragraph">
              <wp:posOffset>262255</wp:posOffset>
            </wp:positionV>
            <wp:extent cx="9607550" cy="5615940"/>
            <wp:effectExtent l="0" t="0" r="12700" b="3810"/>
            <wp:wrapTight wrapText="bothSides">
              <wp:wrapPolygon edited="0">
                <wp:start x="0" y="0"/>
                <wp:lineTo x="0" y="21541"/>
                <wp:lineTo x="21586" y="21541"/>
                <wp:lineTo x="21586" y="0"/>
                <wp:lineTo x="0" y="0"/>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CD400B">
        <w:t>Referral Sources</w:t>
      </w:r>
      <w:bookmarkEnd w:id="33"/>
    </w:p>
    <w:p w:rsidR="00CD400B" w:rsidRDefault="00CD400B" w:rsidP="009669F6"/>
    <w:p w:rsidR="00CD400B" w:rsidRDefault="00CD400B" w:rsidP="00CD400B">
      <w:pPr>
        <w:pStyle w:val="Heading2"/>
      </w:pPr>
      <w:bookmarkStart w:id="34" w:name="_Toc500170281"/>
      <w:r>
        <w:lastRenderedPageBreak/>
        <w:t>Crime Types</w:t>
      </w:r>
      <w:bookmarkEnd w:id="34"/>
    </w:p>
    <w:p w:rsidR="00C900AC" w:rsidRDefault="00CD400B" w:rsidP="009669F6">
      <w:r>
        <w:rPr>
          <w:noProof/>
          <w:lang w:eastAsia="en-GB"/>
        </w:rPr>
        <w:drawing>
          <wp:inline distT="0" distB="0" distL="0" distR="0" wp14:anchorId="37507CC3" wp14:editId="25CF086D">
            <wp:extent cx="9116704" cy="5773003"/>
            <wp:effectExtent l="0" t="0" r="8255" b="1841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900AC" w:rsidRDefault="00C900AC" w:rsidP="00C900AC">
      <w:pPr>
        <w:pStyle w:val="Heading2"/>
      </w:pPr>
      <w:r>
        <w:lastRenderedPageBreak/>
        <w:br/>
      </w:r>
      <w:bookmarkStart w:id="35" w:name="_Toc500170282"/>
      <w:r>
        <w:t>Demographics for Closed Cases Accepting Enhanced Support:</w:t>
      </w:r>
      <w:bookmarkEnd w:id="35"/>
      <w:r>
        <w:t xml:space="preserve"> </w:t>
      </w:r>
    </w:p>
    <w:p w:rsidR="009669F6" w:rsidRDefault="00C900AC" w:rsidP="009669F6">
      <w:r>
        <w:rPr>
          <w:noProof/>
          <w:lang w:eastAsia="en-GB"/>
        </w:rPr>
        <w:drawing>
          <wp:inline distT="0" distB="0" distL="0" distR="0" wp14:anchorId="75CB6457" wp14:editId="16D55292">
            <wp:extent cx="9355540" cy="5704764"/>
            <wp:effectExtent l="0" t="0" r="17145" b="1079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900AC" w:rsidRDefault="00C900AC" w:rsidP="009669F6">
      <w:r>
        <w:rPr>
          <w:noProof/>
          <w:lang w:eastAsia="en-GB"/>
        </w:rPr>
        <w:lastRenderedPageBreak/>
        <w:drawing>
          <wp:inline distT="0" distB="0" distL="0" distR="0" wp14:anchorId="7C5601DA" wp14:editId="0A921344">
            <wp:extent cx="9251950" cy="5651945"/>
            <wp:effectExtent l="0" t="0" r="6350" b="63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900AC" w:rsidRDefault="00C900AC" w:rsidP="009669F6"/>
    <w:p w:rsidR="00C900AC" w:rsidRDefault="00C900AC" w:rsidP="009669F6"/>
    <w:p w:rsidR="00C900AC" w:rsidRDefault="00C900AC" w:rsidP="009669F6">
      <w:r>
        <w:rPr>
          <w:noProof/>
          <w:lang w:eastAsia="en-GB"/>
        </w:rPr>
        <w:lastRenderedPageBreak/>
        <w:drawing>
          <wp:inline distT="0" distB="0" distL="0" distR="0" wp14:anchorId="01F888DF" wp14:editId="36A7909B">
            <wp:extent cx="9389660" cy="5917565"/>
            <wp:effectExtent l="0" t="0" r="2540" b="698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900AC" w:rsidRDefault="00C900AC" w:rsidP="009669F6"/>
    <w:p w:rsidR="00C900AC" w:rsidRDefault="00C900AC" w:rsidP="009669F6">
      <w:r>
        <w:rPr>
          <w:noProof/>
          <w:lang w:eastAsia="en-GB"/>
        </w:rPr>
        <w:lastRenderedPageBreak/>
        <w:drawing>
          <wp:inline distT="0" distB="0" distL="0" distR="0" wp14:anchorId="459EB959" wp14:editId="75395595">
            <wp:extent cx="9451075" cy="5895833"/>
            <wp:effectExtent l="0" t="0" r="17145"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900AC" w:rsidRDefault="00C900AC" w:rsidP="009669F6"/>
    <w:p w:rsidR="00C900AC" w:rsidRDefault="00C900AC" w:rsidP="009669F6">
      <w:r>
        <w:rPr>
          <w:noProof/>
          <w:lang w:eastAsia="en-GB"/>
        </w:rPr>
        <w:lastRenderedPageBreak/>
        <w:drawing>
          <wp:inline distT="0" distB="0" distL="0" distR="0" wp14:anchorId="2D3AF259" wp14:editId="49700BEF">
            <wp:extent cx="9457899" cy="5936776"/>
            <wp:effectExtent l="0" t="0" r="10160" b="698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900AC" w:rsidRDefault="00C900AC" w:rsidP="009669F6"/>
    <w:p w:rsidR="00C900AC" w:rsidRDefault="00C900AC" w:rsidP="009669F6">
      <w:r>
        <w:rPr>
          <w:noProof/>
          <w:lang w:eastAsia="en-GB"/>
        </w:rPr>
        <w:lastRenderedPageBreak/>
        <w:drawing>
          <wp:inline distT="0" distB="0" distL="0" distR="0" wp14:anchorId="532B60A8" wp14:editId="4227E2C0">
            <wp:extent cx="9512490" cy="5895833"/>
            <wp:effectExtent l="0" t="0" r="12700" b="1016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900AC" w:rsidRDefault="00C900AC" w:rsidP="009669F6"/>
    <w:p w:rsidR="00C900AC" w:rsidRDefault="00C900AC" w:rsidP="009669F6">
      <w:r>
        <w:rPr>
          <w:noProof/>
          <w:lang w:eastAsia="en-GB"/>
        </w:rPr>
        <w:lastRenderedPageBreak/>
        <w:drawing>
          <wp:inline distT="0" distB="0" distL="0" distR="0" wp14:anchorId="66721599" wp14:editId="41B37B9A">
            <wp:extent cx="9335069" cy="54864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D400B" w:rsidRDefault="00CD400B" w:rsidP="009669F6"/>
    <w:p w:rsidR="00CD400B" w:rsidRDefault="00CD400B" w:rsidP="009669F6"/>
    <w:p w:rsidR="00CD400B" w:rsidRPr="00CD400B" w:rsidRDefault="00CD400B" w:rsidP="00CD400B">
      <w:pPr>
        <w:pStyle w:val="Heading2"/>
      </w:pPr>
      <w:bookmarkStart w:id="36" w:name="_Toc500170283"/>
      <w:r>
        <w:lastRenderedPageBreak/>
        <w:t>Geographical Areas</w:t>
      </w:r>
      <w:bookmarkEnd w:id="36"/>
      <w:r>
        <w:t xml:space="preserve"> </w:t>
      </w:r>
    </w:p>
    <w:p w:rsidR="00CD400B" w:rsidRDefault="00CD400B" w:rsidP="009669F6">
      <w:r>
        <w:rPr>
          <w:noProof/>
          <w:lang w:eastAsia="en-GB"/>
        </w:rPr>
        <w:drawing>
          <wp:inline distT="0" distB="0" distL="0" distR="0" wp14:anchorId="2A1805FF" wp14:editId="76AAC959">
            <wp:extent cx="9355540" cy="5581015"/>
            <wp:effectExtent l="0" t="0" r="17145" b="63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D400B" w:rsidRDefault="00CD400B" w:rsidP="009669F6"/>
    <w:p w:rsidR="00AE1D74" w:rsidRDefault="00CD400B" w:rsidP="00AE1D74">
      <w:pPr>
        <w:pStyle w:val="Heading2"/>
      </w:pPr>
      <w:bookmarkStart w:id="37" w:name="_Toc500170284"/>
      <w:r>
        <w:lastRenderedPageBreak/>
        <w:t>Length of Support</w:t>
      </w:r>
      <w:bookmarkEnd w:id="37"/>
      <w:r>
        <w:t xml:space="preserve"> </w:t>
      </w:r>
      <w:r>
        <w:rPr>
          <w:noProof/>
          <w:lang w:eastAsia="en-GB"/>
        </w:rPr>
        <w:drawing>
          <wp:inline distT="0" distB="0" distL="0" distR="0" wp14:anchorId="682A4FBC" wp14:editId="3A41BD68">
            <wp:extent cx="8644270" cy="5488098"/>
            <wp:effectExtent l="0" t="0" r="4445" b="1778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E1D74" w:rsidRDefault="00AE1D74" w:rsidP="00AE1D74"/>
    <w:p w:rsidR="00D30F74" w:rsidRDefault="00AE1D74" w:rsidP="00AE1D74">
      <w:pPr>
        <w:tabs>
          <w:tab w:val="center" w:pos="7285"/>
        </w:tabs>
      </w:pPr>
      <w:r>
        <w:tab/>
      </w:r>
    </w:p>
    <w:sectPr w:rsidR="00D30F74" w:rsidSect="00AE1D74">
      <w:pgSz w:w="16838" w:h="11906" w:orient="landscape"/>
      <w:pgMar w:top="1134" w:right="1276" w:bottom="851" w:left="992"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325" w:rsidRDefault="005C2325" w:rsidP="0097260F">
      <w:pPr>
        <w:spacing w:after="0" w:line="240" w:lineRule="auto"/>
      </w:pPr>
      <w:r>
        <w:separator/>
      </w:r>
    </w:p>
  </w:endnote>
  <w:endnote w:type="continuationSeparator" w:id="0">
    <w:p w:rsidR="005C2325" w:rsidRDefault="005C2325" w:rsidP="0097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53" w:rsidRPr="00214D50" w:rsidRDefault="00DB6053" w:rsidP="00214D50">
    <w:pPr>
      <w:pStyle w:val="Footer"/>
      <w:jc w:val="right"/>
      <w:rPr>
        <w:rFonts w:ascii="Arial" w:hAnsi="Arial" w:cs="Arial"/>
        <w:color w:val="A6A6A6" w:themeColor="background1" w:themeShade="A6"/>
        <w:sz w:val="24"/>
      </w:rPr>
    </w:pPr>
    <w:r w:rsidRPr="00214D50">
      <w:rPr>
        <w:rFonts w:ascii="Arial" w:hAnsi="Arial" w:cs="Arial"/>
        <w:color w:val="A6A6A6" w:themeColor="background1" w:themeShade="A6"/>
        <w:sz w:val="24"/>
      </w:rPr>
      <w:t xml:space="preserve">Page </w:t>
    </w:r>
    <w:r w:rsidRPr="00214D50">
      <w:rPr>
        <w:rFonts w:ascii="Arial" w:hAnsi="Arial" w:cs="Arial"/>
        <w:color w:val="A6A6A6" w:themeColor="background1" w:themeShade="A6"/>
        <w:sz w:val="24"/>
      </w:rPr>
      <w:fldChar w:fldCharType="begin"/>
    </w:r>
    <w:r w:rsidRPr="00214D50">
      <w:rPr>
        <w:rFonts w:ascii="Arial" w:hAnsi="Arial" w:cs="Arial"/>
        <w:color w:val="A6A6A6" w:themeColor="background1" w:themeShade="A6"/>
        <w:sz w:val="24"/>
      </w:rPr>
      <w:instrText xml:space="preserve"> PAGE   \* MERGEFORMAT </w:instrText>
    </w:r>
    <w:r w:rsidRPr="00214D50">
      <w:rPr>
        <w:rFonts w:ascii="Arial" w:hAnsi="Arial" w:cs="Arial"/>
        <w:color w:val="A6A6A6" w:themeColor="background1" w:themeShade="A6"/>
        <w:sz w:val="24"/>
      </w:rPr>
      <w:fldChar w:fldCharType="separate"/>
    </w:r>
    <w:r w:rsidR="00AE1D74">
      <w:rPr>
        <w:rFonts w:ascii="Arial" w:hAnsi="Arial" w:cs="Arial"/>
        <w:noProof/>
        <w:color w:val="A6A6A6" w:themeColor="background1" w:themeShade="A6"/>
        <w:sz w:val="24"/>
      </w:rPr>
      <w:t>4</w:t>
    </w:r>
    <w:r w:rsidRPr="00214D50">
      <w:rPr>
        <w:rFonts w:ascii="Arial" w:hAnsi="Arial" w:cs="Arial"/>
        <w:noProof/>
        <w:color w:val="A6A6A6" w:themeColor="background1" w:themeShade="A6"/>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53" w:rsidRPr="0097260F" w:rsidRDefault="00DB6053" w:rsidP="0097260F">
    <w:pPr>
      <w:pStyle w:val="Footer"/>
      <w:jc w:val="center"/>
      <w:rPr>
        <w:rFonts w:ascii="Arial" w:hAnsi="Arial" w:cs="Arial"/>
        <w:b/>
        <w:sz w:val="24"/>
      </w:rPr>
    </w:pPr>
    <w:r w:rsidRPr="0097260F">
      <w:rPr>
        <w:rFonts w:ascii="Arial" w:hAnsi="Arial" w:cs="Arial"/>
        <w:b/>
        <w:sz w:val="24"/>
      </w:rPr>
      <w:t>Page</w:t>
    </w:r>
    <w:r>
      <w:rPr>
        <w:rFonts w:ascii="Arial" w:hAnsi="Arial" w:cs="Arial"/>
        <w:b/>
        <w:sz w:val="24"/>
      </w:rPr>
      <w:t xml:space="preserve"> </w:t>
    </w:r>
    <w:r w:rsidRPr="0097260F">
      <w:rPr>
        <w:rFonts w:ascii="Arial" w:hAnsi="Arial" w:cs="Arial"/>
        <w:b/>
        <w:sz w:val="24"/>
      </w:rPr>
      <w:fldChar w:fldCharType="begin"/>
    </w:r>
    <w:r w:rsidRPr="0097260F">
      <w:rPr>
        <w:rFonts w:ascii="Arial" w:hAnsi="Arial" w:cs="Arial"/>
        <w:b/>
        <w:sz w:val="24"/>
      </w:rPr>
      <w:instrText xml:space="preserve"> PAGE   \* MERGEFORMAT </w:instrText>
    </w:r>
    <w:r w:rsidRPr="0097260F">
      <w:rPr>
        <w:rFonts w:ascii="Arial" w:hAnsi="Arial" w:cs="Arial"/>
        <w:b/>
        <w:sz w:val="24"/>
      </w:rPr>
      <w:fldChar w:fldCharType="separate"/>
    </w:r>
    <w:r w:rsidR="00AE1D74">
      <w:rPr>
        <w:rFonts w:ascii="Arial" w:hAnsi="Arial" w:cs="Arial"/>
        <w:b/>
        <w:noProof/>
        <w:sz w:val="24"/>
      </w:rPr>
      <w:t>24</w:t>
    </w:r>
    <w:r w:rsidRPr="0097260F">
      <w:rPr>
        <w:rFonts w:ascii="Arial" w:hAnsi="Arial" w:cs="Arial"/>
        <w:b/>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325" w:rsidRDefault="005C2325" w:rsidP="0097260F">
      <w:pPr>
        <w:spacing w:after="0" w:line="240" w:lineRule="auto"/>
      </w:pPr>
      <w:r>
        <w:separator/>
      </w:r>
    </w:p>
  </w:footnote>
  <w:footnote w:type="continuationSeparator" w:id="0">
    <w:p w:rsidR="005C2325" w:rsidRDefault="005C2325" w:rsidP="0097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53" w:rsidRPr="002502B5" w:rsidRDefault="00DB6053" w:rsidP="0097260F">
    <w:pPr>
      <w:pStyle w:val="Header"/>
      <w:jc w:val="center"/>
      <w:rPr>
        <w:rFonts w:ascii="Arial" w:hAnsi="Arial" w:cs="Arial"/>
        <w:color w:val="A6A6A6" w:themeColor="background1" w:themeShade="A6"/>
        <w:sz w:val="20"/>
      </w:rPr>
    </w:pPr>
    <w:r w:rsidRPr="002502B5">
      <w:rPr>
        <w:rFonts w:ascii="Arial" w:hAnsi="Arial" w:cs="Arial"/>
        <w:color w:val="A6A6A6" w:themeColor="background1" w:themeShade="A6"/>
        <w:sz w:val="20"/>
      </w:rPr>
      <w:t xml:space="preserve">Victim First Performance Report | Year 2: Annual Report 2016-2017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53" w:rsidRPr="0097260F" w:rsidRDefault="00DB6053" w:rsidP="00BB7C90">
    <w:pPr>
      <w:pStyle w:val="Header"/>
      <w:jc w:val="center"/>
      <w:rPr>
        <w:rFonts w:ascii="Arial" w:hAnsi="Arial" w:cs="Arial"/>
        <w:b/>
        <w:sz w:val="24"/>
      </w:rPr>
    </w:pPr>
    <w:r>
      <w:rPr>
        <w:rFonts w:ascii="Arial" w:hAnsi="Arial" w:cs="Arial"/>
        <w:b/>
        <w:sz w:val="24"/>
      </w:rPr>
      <w:t xml:space="preserve">Victim First Performance Report | Year 2: Annual Report 2016-2017 </w:t>
    </w:r>
  </w:p>
  <w:p w:rsidR="00DB6053" w:rsidRPr="00BB7C90" w:rsidRDefault="00DB6053" w:rsidP="00BB7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4F7"/>
    <w:multiLevelType w:val="hybridMultilevel"/>
    <w:tmpl w:val="DF3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0AC8"/>
    <w:multiLevelType w:val="hybridMultilevel"/>
    <w:tmpl w:val="807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1337B"/>
    <w:multiLevelType w:val="multilevel"/>
    <w:tmpl w:val="65F8582C"/>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977F3C"/>
    <w:multiLevelType w:val="hybridMultilevel"/>
    <w:tmpl w:val="A536A23A"/>
    <w:lvl w:ilvl="0" w:tplc="6C4032D6">
      <w:start w:val="336"/>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26734"/>
    <w:multiLevelType w:val="hybridMultilevel"/>
    <w:tmpl w:val="0D8AA504"/>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3E90"/>
    <w:multiLevelType w:val="hybridMultilevel"/>
    <w:tmpl w:val="921A63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056F3"/>
    <w:multiLevelType w:val="hybridMultilevel"/>
    <w:tmpl w:val="EAE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4E39"/>
    <w:multiLevelType w:val="hybridMultilevel"/>
    <w:tmpl w:val="5192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F0387D"/>
    <w:multiLevelType w:val="hybridMultilevel"/>
    <w:tmpl w:val="C224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30DC3"/>
    <w:multiLevelType w:val="hybridMultilevel"/>
    <w:tmpl w:val="28280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3E5D6D"/>
    <w:multiLevelType w:val="hybridMultilevel"/>
    <w:tmpl w:val="EF04FA12"/>
    <w:lvl w:ilvl="0" w:tplc="A96C067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F34467"/>
    <w:multiLevelType w:val="hybridMultilevel"/>
    <w:tmpl w:val="AEF43DC6"/>
    <w:lvl w:ilvl="0" w:tplc="A96C067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A507E"/>
    <w:multiLevelType w:val="multilevel"/>
    <w:tmpl w:val="5AEA4B7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B05DDB"/>
    <w:multiLevelType w:val="multilevel"/>
    <w:tmpl w:val="CA525B98"/>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E36340"/>
    <w:multiLevelType w:val="hybridMultilevel"/>
    <w:tmpl w:val="9B8E3434"/>
    <w:lvl w:ilvl="0" w:tplc="A96C0676">
      <w:start w:val="1"/>
      <w:numFmt w:val="bullet"/>
      <w:lvlText w:val="-"/>
      <w:lvlJc w:val="left"/>
      <w:pPr>
        <w:ind w:left="1095" w:hanging="360"/>
      </w:pPr>
      <w:rPr>
        <w:rFonts w:ascii="Calibri" w:eastAsiaTheme="minorHAnsi" w:hAnsi="Calibri"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15:restartNumberingAfterBreak="0">
    <w:nsid w:val="41E0016B"/>
    <w:multiLevelType w:val="hybridMultilevel"/>
    <w:tmpl w:val="B33EBE46"/>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62B9"/>
    <w:multiLevelType w:val="multilevel"/>
    <w:tmpl w:val="2A2E775C"/>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4C4A97"/>
    <w:multiLevelType w:val="hybridMultilevel"/>
    <w:tmpl w:val="8C586E38"/>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007B0"/>
    <w:multiLevelType w:val="hybridMultilevel"/>
    <w:tmpl w:val="EE96B040"/>
    <w:lvl w:ilvl="0" w:tplc="6D8E51DC">
      <w:start w:val="106"/>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A6781"/>
    <w:multiLevelType w:val="hybridMultilevel"/>
    <w:tmpl w:val="F7262D8E"/>
    <w:lvl w:ilvl="0" w:tplc="4D60ACA0">
      <w:start w:val="226"/>
      <w:numFmt w:val="bullet"/>
      <w:lvlText w:val="-"/>
      <w:lvlJc w:val="left"/>
      <w:pPr>
        <w:ind w:left="720" w:hanging="360"/>
      </w:pPr>
      <w:rPr>
        <w:rFonts w:ascii="Arial" w:eastAsiaTheme="minorEastAsia" w:hAnsi="Aria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27A87"/>
    <w:multiLevelType w:val="multilevel"/>
    <w:tmpl w:val="AB8A49F0"/>
    <w:lvl w:ilvl="0">
      <w:start w:val="15"/>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2" w15:restartNumberingAfterBreak="0">
    <w:nsid w:val="50B2012C"/>
    <w:multiLevelType w:val="hybridMultilevel"/>
    <w:tmpl w:val="26A6F0B0"/>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D59F0"/>
    <w:multiLevelType w:val="hybridMultilevel"/>
    <w:tmpl w:val="1C0079C6"/>
    <w:lvl w:ilvl="0" w:tplc="A96C067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C79FB"/>
    <w:multiLevelType w:val="hybridMultilevel"/>
    <w:tmpl w:val="A4CA854C"/>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A200C"/>
    <w:multiLevelType w:val="hybridMultilevel"/>
    <w:tmpl w:val="4D6E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C702F"/>
    <w:multiLevelType w:val="hybridMultilevel"/>
    <w:tmpl w:val="3BF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C2A47"/>
    <w:multiLevelType w:val="multilevel"/>
    <w:tmpl w:val="376CA046"/>
    <w:lvl w:ilvl="0">
      <w:start w:val="16"/>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8" w15:restartNumberingAfterBreak="0">
    <w:nsid w:val="6E0B7064"/>
    <w:multiLevelType w:val="multilevel"/>
    <w:tmpl w:val="E710DE6A"/>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DC67C5"/>
    <w:multiLevelType w:val="hybridMultilevel"/>
    <w:tmpl w:val="6938168A"/>
    <w:lvl w:ilvl="0" w:tplc="A96C0676">
      <w:start w:val="1"/>
      <w:numFmt w:val="bullet"/>
      <w:lvlText w:val="-"/>
      <w:lvlJc w:val="left"/>
      <w:pPr>
        <w:ind w:left="1095" w:hanging="360"/>
      </w:pPr>
      <w:rPr>
        <w:rFonts w:ascii="Calibri" w:eastAsiaTheme="minorHAnsi" w:hAnsi="Calibri"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0" w15:restartNumberingAfterBreak="0">
    <w:nsid w:val="7B067317"/>
    <w:multiLevelType w:val="hybridMultilevel"/>
    <w:tmpl w:val="DE14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C176C"/>
    <w:multiLevelType w:val="hybridMultilevel"/>
    <w:tmpl w:val="8A8C925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EF37651"/>
    <w:multiLevelType w:val="hybridMultilevel"/>
    <w:tmpl w:val="0C8CBE74"/>
    <w:lvl w:ilvl="0" w:tplc="CCA0BB60">
      <w:start w:val="1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C6FDE"/>
    <w:multiLevelType w:val="hybridMultilevel"/>
    <w:tmpl w:val="C22CA3EA"/>
    <w:lvl w:ilvl="0" w:tplc="A96C067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20"/>
  </w:num>
  <w:num w:numId="4">
    <w:abstractNumId w:val="9"/>
  </w:num>
  <w:num w:numId="5">
    <w:abstractNumId w:val="22"/>
  </w:num>
  <w:num w:numId="6">
    <w:abstractNumId w:val="32"/>
  </w:num>
  <w:num w:numId="7">
    <w:abstractNumId w:val="31"/>
  </w:num>
  <w:num w:numId="8">
    <w:abstractNumId w:val="12"/>
  </w:num>
  <w:num w:numId="9">
    <w:abstractNumId w:val="26"/>
  </w:num>
  <w:num w:numId="10">
    <w:abstractNumId w:val="30"/>
  </w:num>
  <w:num w:numId="11">
    <w:abstractNumId w:val="27"/>
  </w:num>
  <w:num w:numId="12">
    <w:abstractNumId w:val="13"/>
  </w:num>
  <w:num w:numId="13">
    <w:abstractNumId w:val="28"/>
  </w:num>
  <w:num w:numId="14">
    <w:abstractNumId w:val="15"/>
  </w:num>
  <w:num w:numId="15">
    <w:abstractNumId w:val="11"/>
  </w:num>
  <w:num w:numId="16">
    <w:abstractNumId w:val="29"/>
  </w:num>
  <w:num w:numId="17">
    <w:abstractNumId w:val="33"/>
  </w:num>
  <w:num w:numId="18">
    <w:abstractNumId w:val="4"/>
  </w:num>
  <w:num w:numId="19">
    <w:abstractNumId w:val="24"/>
  </w:num>
  <w:num w:numId="20">
    <w:abstractNumId w:val="16"/>
  </w:num>
  <w:num w:numId="21">
    <w:abstractNumId w:val="21"/>
  </w:num>
  <w:num w:numId="22">
    <w:abstractNumId w:val="18"/>
  </w:num>
  <w:num w:numId="23">
    <w:abstractNumId w:val="0"/>
  </w:num>
  <w:num w:numId="24">
    <w:abstractNumId w:val="23"/>
  </w:num>
  <w:num w:numId="25">
    <w:abstractNumId w:val="2"/>
  </w:num>
  <w:num w:numId="26">
    <w:abstractNumId w:val="14"/>
  </w:num>
  <w:num w:numId="27">
    <w:abstractNumId w:val="17"/>
  </w:num>
  <w:num w:numId="28">
    <w:abstractNumId w:val="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6"/>
  </w:num>
  <w:num w:numId="33">
    <w:abstractNumId w:val="25"/>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F"/>
    <w:rsid w:val="00001294"/>
    <w:rsid w:val="000122D1"/>
    <w:rsid w:val="00012E07"/>
    <w:rsid w:val="00021175"/>
    <w:rsid w:val="00021654"/>
    <w:rsid w:val="00023B6B"/>
    <w:rsid w:val="0002694A"/>
    <w:rsid w:val="0004058A"/>
    <w:rsid w:val="0004090E"/>
    <w:rsid w:val="00041344"/>
    <w:rsid w:val="00042767"/>
    <w:rsid w:val="00042891"/>
    <w:rsid w:val="00046CB6"/>
    <w:rsid w:val="00054E87"/>
    <w:rsid w:val="00055274"/>
    <w:rsid w:val="00056C4C"/>
    <w:rsid w:val="00057F42"/>
    <w:rsid w:val="0006179B"/>
    <w:rsid w:val="00065348"/>
    <w:rsid w:val="00075BB1"/>
    <w:rsid w:val="000815D8"/>
    <w:rsid w:val="00084B2E"/>
    <w:rsid w:val="00087211"/>
    <w:rsid w:val="000935B3"/>
    <w:rsid w:val="0009432A"/>
    <w:rsid w:val="000979B8"/>
    <w:rsid w:val="000B198A"/>
    <w:rsid w:val="000B2827"/>
    <w:rsid w:val="000B2AFB"/>
    <w:rsid w:val="000B386A"/>
    <w:rsid w:val="000B708B"/>
    <w:rsid w:val="000C05BD"/>
    <w:rsid w:val="000C16CE"/>
    <w:rsid w:val="000C1DE2"/>
    <w:rsid w:val="000C2E40"/>
    <w:rsid w:val="000C391A"/>
    <w:rsid w:val="000C7D66"/>
    <w:rsid w:val="000D30BF"/>
    <w:rsid w:val="000D4739"/>
    <w:rsid w:val="000D652E"/>
    <w:rsid w:val="000E1F3A"/>
    <w:rsid w:val="000E41AE"/>
    <w:rsid w:val="000F0E57"/>
    <w:rsid w:val="000F1006"/>
    <w:rsid w:val="000F25C3"/>
    <w:rsid w:val="000F6D03"/>
    <w:rsid w:val="000F748E"/>
    <w:rsid w:val="00100F2D"/>
    <w:rsid w:val="00101909"/>
    <w:rsid w:val="00102488"/>
    <w:rsid w:val="00102B31"/>
    <w:rsid w:val="00103424"/>
    <w:rsid w:val="00105C12"/>
    <w:rsid w:val="00105F7A"/>
    <w:rsid w:val="00107BA0"/>
    <w:rsid w:val="0011314B"/>
    <w:rsid w:val="00114971"/>
    <w:rsid w:val="0011498A"/>
    <w:rsid w:val="00120D8F"/>
    <w:rsid w:val="00125058"/>
    <w:rsid w:val="001266B6"/>
    <w:rsid w:val="0012714A"/>
    <w:rsid w:val="00127C2A"/>
    <w:rsid w:val="001301F8"/>
    <w:rsid w:val="001317C4"/>
    <w:rsid w:val="00131AB4"/>
    <w:rsid w:val="001418C9"/>
    <w:rsid w:val="00141DDC"/>
    <w:rsid w:val="0014233F"/>
    <w:rsid w:val="00143278"/>
    <w:rsid w:val="00144EDE"/>
    <w:rsid w:val="0015035B"/>
    <w:rsid w:val="001506F7"/>
    <w:rsid w:val="001571D1"/>
    <w:rsid w:val="00160799"/>
    <w:rsid w:val="001614D4"/>
    <w:rsid w:val="00161A4C"/>
    <w:rsid w:val="00163202"/>
    <w:rsid w:val="001646AC"/>
    <w:rsid w:val="00165C0C"/>
    <w:rsid w:val="001664ED"/>
    <w:rsid w:val="00170C6A"/>
    <w:rsid w:val="00175FB6"/>
    <w:rsid w:val="00180131"/>
    <w:rsid w:val="0018013F"/>
    <w:rsid w:val="00183521"/>
    <w:rsid w:val="001855AB"/>
    <w:rsid w:val="00195C1C"/>
    <w:rsid w:val="001A3096"/>
    <w:rsid w:val="001B11EF"/>
    <w:rsid w:val="001B12DA"/>
    <w:rsid w:val="001B392C"/>
    <w:rsid w:val="001B4F59"/>
    <w:rsid w:val="001B6552"/>
    <w:rsid w:val="001D1453"/>
    <w:rsid w:val="001D2E43"/>
    <w:rsid w:val="001D4805"/>
    <w:rsid w:val="001D4CB1"/>
    <w:rsid w:val="001D5A75"/>
    <w:rsid w:val="001D5D44"/>
    <w:rsid w:val="001E0570"/>
    <w:rsid w:val="001E0D91"/>
    <w:rsid w:val="001E4AEE"/>
    <w:rsid w:val="001E5AF3"/>
    <w:rsid w:val="001F46E9"/>
    <w:rsid w:val="001F78EB"/>
    <w:rsid w:val="002005DB"/>
    <w:rsid w:val="00201802"/>
    <w:rsid w:val="00205448"/>
    <w:rsid w:val="002065DD"/>
    <w:rsid w:val="0020754D"/>
    <w:rsid w:val="00207EC9"/>
    <w:rsid w:val="00214D50"/>
    <w:rsid w:val="0021622A"/>
    <w:rsid w:val="00217CA5"/>
    <w:rsid w:val="00220313"/>
    <w:rsid w:val="00222A85"/>
    <w:rsid w:val="0023078D"/>
    <w:rsid w:val="00234159"/>
    <w:rsid w:val="0023569F"/>
    <w:rsid w:val="00236A5E"/>
    <w:rsid w:val="00237CCC"/>
    <w:rsid w:val="00237CDD"/>
    <w:rsid w:val="002502B5"/>
    <w:rsid w:val="00250A99"/>
    <w:rsid w:val="0025338C"/>
    <w:rsid w:val="00254CD8"/>
    <w:rsid w:val="00256475"/>
    <w:rsid w:val="002634CF"/>
    <w:rsid w:val="00264E92"/>
    <w:rsid w:val="00265DAC"/>
    <w:rsid w:val="00266894"/>
    <w:rsid w:val="00271F76"/>
    <w:rsid w:val="00276D31"/>
    <w:rsid w:val="0028045C"/>
    <w:rsid w:val="00280BD2"/>
    <w:rsid w:val="00280E50"/>
    <w:rsid w:val="00281654"/>
    <w:rsid w:val="00283FC1"/>
    <w:rsid w:val="002869FC"/>
    <w:rsid w:val="00290F93"/>
    <w:rsid w:val="00291DA7"/>
    <w:rsid w:val="00292FBA"/>
    <w:rsid w:val="00294873"/>
    <w:rsid w:val="00296F4A"/>
    <w:rsid w:val="002A258A"/>
    <w:rsid w:val="002A34F8"/>
    <w:rsid w:val="002A406D"/>
    <w:rsid w:val="002A4D28"/>
    <w:rsid w:val="002B32F0"/>
    <w:rsid w:val="002B5C72"/>
    <w:rsid w:val="002B6FE4"/>
    <w:rsid w:val="002C664B"/>
    <w:rsid w:val="002C7678"/>
    <w:rsid w:val="002D297A"/>
    <w:rsid w:val="002D3551"/>
    <w:rsid w:val="002D35C1"/>
    <w:rsid w:val="002E6778"/>
    <w:rsid w:val="002F6417"/>
    <w:rsid w:val="002F6D67"/>
    <w:rsid w:val="00310E49"/>
    <w:rsid w:val="00311B3A"/>
    <w:rsid w:val="00312D89"/>
    <w:rsid w:val="00316A3E"/>
    <w:rsid w:val="00316C60"/>
    <w:rsid w:val="00321EAA"/>
    <w:rsid w:val="003276B6"/>
    <w:rsid w:val="0033196D"/>
    <w:rsid w:val="00334948"/>
    <w:rsid w:val="00337184"/>
    <w:rsid w:val="00346292"/>
    <w:rsid w:val="0035025A"/>
    <w:rsid w:val="0035109E"/>
    <w:rsid w:val="00352345"/>
    <w:rsid w:val="00356CC8"/>
    <w:rsid w:val="00357C80"/>
    <w:rsid w:val="00362607"/>
    <w:rsid w:val="0036490D"/>
    <w:rsid w:val="00365B36"/>
    <w:rsid w:val="003729DC"/>
    <w:rsid w:val="00372DFC"/>
    <w:rsid w:val="0037326E"/>
    <w:rsid w:val="0038170F"/>
    <w:rsid w:val="00384DCB"/>
    <w:rsid w:val="00385396"/>
    <w:rsid w:val="00392CDD"/>
    <w:rsid w:val="00397772"/>
    <w:rsid w:val="003A67DE"/>
    <w:rsid w:val="003A6B2F"/>
    <w:rsid w:val="003A7D01"/>
    <w:rsid w:val="003B102C"/>
    <w:rsid w:val="003B35AD"/>
    <w:rsid w:val="003B368B"/>
    <w:rsid w:val="003B64FA"/>
    <w:rsid w:val="003B7500"/>
    <w:rsid w:val="003B764E"/>
    <w:rsid w:val="003B7F10"/>
    <w:rsid w:val="003C0063"/>
    <w:rsid w:val="003C06DA"/>
    <w:rsid w:val="003C1149"/>
    <w:rsid w:val="003C1496"/>
    <w:rsid w:val="003C2A27"/>
    <w:rsid w:val="003C6B5C"/>
    <w:rsid w:val="003D1110"/>
    <w:rsid w:val="003D166B"/>
    <w:rsid w:val="003D261F"/>
    <w:rsid w:val="003D6D38"/>
    <w:rsid w:val="003E3375"/>
    <w:rsid w:val="003E4967"/>
    <w:rsid w:val="003E4A4D"/>
    <w:rsid w:val="003E522F"/>
    <w:rsid w:val="003F1CF5"/>
    <w:rsid w:val="003F1E46"/>
    <w:rsid w:val="003F2770"/>
    <w:rsid w:val="003F3F98"/>
    <w:rsid w:val="003F5034"/>
    <w:rsid w:val="003F6F47"/>
    <w:rsid w:val="003F796C"/>
    <w:rsid w:val="00410EAD"/>
    <w:rsid w:val="00411736"/>
    <w:rsid w:val="00411C40"/>
    <w:rsid w:val="00413F31"/>
    <w:rsid w:val="00422366"/>
    <w:rsid w:val="0042402A"/>
    <w:rsid w:val="0042515D"/>
    <w:rsid w:val="004256E8"/>
    <w:rsid w:val="00425B52"/>
    <w:rsid w:val="00431981"/>
    <w:rsid w:val="00434269"/>
    <w:rsid w:val="0043657E"/>
    <w:rsid w:val="00436FFB"/>
    <w:rsid w:val="0044103B"/>
    <w:rsid w:val="0044118E"/>
    <w:rsid w:val="004433BF"/>
    <w:rsid w:val="00443C43"/>
    <w:rsid w:val="00463D5D"/>
    <w:rsid w:val="00472B5D"/>
    <w:rsid w:val="00476325"/>
    <w:rsid w:val="004776B8"/>
    <w:rsid w:val="004801FB"/>
    <w:rsid w:val="0048068E"/>
    <w:rsid w:val="00482D9C"/>
    <w:rsid w:val="00483AC5"/>
    <w:rsid w:val="004848AF"/>
    <w:rsid w:val="00484D34"/>
    <w:rsid w:val="0048550D"/>
    <w:rsid w:val="0048760E"/>
    <w:rsid w:val="00492930"/>
    <w:rsid w:val="004933CF"/>
    <w:rsid w:val="004973E6"/>
    <w:rsid w:val="004A1489"/>
    <w:rsid w:val="004A3308"/>
    <w:rsid w:val="004B6DAF"/>
    <w:rsid w:val="004B7A03"/>
    <w:rsid w:val="004C1F06"/>
    <w:rsid w:val="004C48D0"/>
    <w:rsid w:val="004C5EA1"/>
    <w:rsid w:val="004C65E6"/>
    <w:rsid w:val="004C6FAB"/>
    <w:rsid w:val="004D3258"/>
    <w:rsid w:val="004D3CF1"/>
    <w:rsid w:val="004E0363"/>
    <w:rsid w:val="004E539D"/>
    <w:rsid w:val="004E6DDA"/>
    <w:rsid w:val="004F3B2B"/>
    <w:rsid w:val="004F6F8D"/>
    <w:rsid w:val="004F7CD8"/>
    <w:rsid w:val="00500527"/>
    <w:rsid w:val="00505A77"/>
    <w:rsid w:val="00511DED"/>
    <w:rsid w:val="0051296F"/>
    <w:rsid w:val="00513E53"/>
    <w:rsid w:val="0051420F"/>
    <w:rsid w:val="00514819"/>
    <w:rsid w:val="005203BE"/>
    <w:rsid w:val="00520804"/>
    <w:rsid w:val="005219D5"/>
    <w:rsid w:val="00521D05"/>
    <w:rsid w:val="0052480B"/>
    <w:rsid w:val="00532D34"/>
    <w:rsid w:val="005354FE"/>
    <w:rsid w:val="0053585B"/>
    <w:rsid w:val="005403AB"/>
    <w:rsid w:val="00542DAF"/>
    <w:rsid w:val="0054303C"/>
    <w:rsid w:val="00551590"/>
    <w:rsid w:val="0055636A"/>
    <w:rsid w:val="0055672C"/>
    <w:rsid w:val="005571A7"/>
    <w:rsid w:val="00561AC6"/>
    <w:rsid w:val="00562505"/>
    <w:rsid w:val="00562E24"/>
    <w:rsid w:val="00564330"/>
    <w:rsid w:val="005646F2"/>
    <w:rsid w:val="005660B0"/>
    <w:rsid w:val="005739D7"/>
    <w:rsid w:val="00574259"/>
    <w:rsid w:val="00574DE9"/>
    <w:rsid w:val="00580EAE"/>
    <w:rsid w:val="00583556"/>
    <w:rsid w:val="00584044"/>
    <w:rsid w:val="00584ADE"/>
    <w:rsid w:val="00593CC4"/>
    <w:rsid w:val="005A2EEE"/>
    <w:rsid w:val="005A7B59"/>
    <w:rsid w:val="005B15C1"/>
    <w:rsid w:val="005B599D"/>
    <w:rsid w:val="005B6D6E"/>
    <w:rsid w:val="005C1E78"/>
    <w:rsid w:val="005C2325"/>
    <w:rsid w:val="005C2D11"/>
    <w:rsid w:val="005C63C3"/>
    <w:rsid w:val="005D0DDA"/>
    <w:rsid w:val="005D16E0"/>
    <w:rsid w:val="005D1A85"/>
    <w:rsid w:val="005D3765"/>
    <w:rsid w:val="005D4004"/>
    <w:rsid w:val="005D5199"/>
    <w:rsid w:val="005D6D12"/>
    <w:rsid w:val="005E44E5"/>
    <w:rsid w:val="005E638E"/>
    <w:rsid w:val="005E74CF"/>
    <w:rsid w:val="005E77FA"/>
    <w:rsid w:val="005F5420"/>
    <w:rsid w:val="005F74AD"/>
    <w:rsid w:val="005F77E5"/>
    <w:rsid w:val="006005B1"/>
    <w:rsid w:val="00602558"/>
    <w:rsid w:val="00607817"/>
    <w:rsid w:val="00612CE7"/>
    <w:rsid w:val="00613E28"/>
    <w:rsid w:val="00617282"/>
    <w:rsid w:val="006221E5"/>
    <w:rsid w:val="00622910"/>
    <w:rsid w:val="00626912"/>
    <w:rsid w:val="00630FE2"/>
    <w:rsid w:val="00631950"/>
    <w:rsid w:val="0063236D"/>
    <w:rsid w:val="006329FE"/>
    <w:rsid w:val="006366DC"/>
    <w:rsid w:val="006371B9"/>
    <w:rsid w:val="00640AD4"/>
    <w:rsid w:val="00641252"/>
    <w:rsid w:val="00641776"/>
    <w:rsid w:val="00647DCB"/>
    <w:rsid w:val="0065121B"/>
    <w:rsid w:val="00653AE2"/>
    <w:rsid w:val="00654B2E"/>
    <w:rsid w:val="00656123"/>
    <w:rsid w:val="00656A09"/>
    <w:rsid w:val="00662FEF"/>
    <w:rsid w:val="006649A8"/>
    <w:rsid w:val="00664CC0"/>
    <w:rsid w:val="00665B29"/>
    <w:rsid w:val="006668A0"/>
    <w:rsid w:val="00666F4B"/>
    <w:rsid w:val="006672DF"/>
    <w:rsid w:val="00671212"/>
    <w:rsid w:val="00672CC8"/>
    <w:rsid w:val="00677476"/>
    <w:rsid w:val="00682BE8"/>
    <w:rsid w:val="00684E15"/>
    <w:rsid w:val="006965EC"/>
    <w:rsid w:val="006A1226"/>
    <w:rsid w:val="006A552F"/>
    <w:rsid w:val="006A5A93"/>
    <w:rsid w:val="006A5D8D"/>
    <w:rsid w:val="006B2411"/>
    <w:rsid w:val="006C270E"/>
    <w:rsid w:val="006C38A2"/>
    <w:rsid w:val="006C6014"/>
    <w:rsid w:val="006D2F79"/>
    <w:rsid w:val="006D4934"/>
    <w:rsid w:val="006D7013"/>
    <w:rsid w:val="006E098F"/>
    <w:rsid w:val="006E1EF8"/>
    <w:rsid w:val="006E29F1"/>
    <w:rsid w:val="006E2A43"/>
    <w:rsid w:val="006E7090"/>
    <w:rsid w:val="006E78D5"/>
    <w:rsid w:val="006F5EFF"/>
    <w:rsid w:val="006F7064"/>
    <w:rsid w:val="006F7C61"/>
    <w:rsid w:val="0070173E"/>
    <w:rsid w:val="007020CA"/>
    <w:rsid w:val="007124A1"/>
    <w:rsid w:val="007174C4"/>
    <w:rsid w:val="00722841"/>
    <w:rsid w:val="00724A8B"/>
    <w:rsid w:val="00727B48"/>
    <w:rsid w:val="00727DF4"/>
    <w:rsid w:val="007340A4"/>
    <w:rsid w:val="007364B3"/>
    <w:rsid w:val="00742CD0"/>
    <w:rsid w:val="007455FF"/>
    <w:rsid w:val="007456EE"/>
    <w:rsid w:val="00746F11"/>
    <w:rsid w:val="0075787E"/>
    <w:rsid w:val="007632CE"/>
    <w:rsid w:val="007661F5"/>
    <w:rsid w:val="00771C1C"/>
    <w:rsid w:val="007732F6"/>
    <w:rsid w:val="0077375E"/>
    <w:rsid w:val="00773D00"/>
    <w:rsid w:val="00775580"/>
    <w:rsid w:val="00775F66"/>
    <w:rsid w:val="00776043"/>
    <w:rsid w:val="007762D0"/>
    <w:rsid w:val="00777C7B"/>
    <w:rsid w:val="0078040A"/>
    <w:rsid w:val="0078607E"/>
    <w:rsid w:val="00787137"/>
    <w:rsid w:val="0078728C"/>
    <w:rsid w:val="00787653"/>
    <w:rsid w:val="00792A6B"/>
    <w:rsid w:val="007969E2"/>
    <w:rsid w:val="007A784B"/>
    <w:rsid w:val="007B05A6"/>
    <w:rsid w:val="007B0F34"/>
    <w:rsid w:val="007B253A"/>
    <w:rsid w:val="007B64F1"/>
    <w:rsid w:val="007B7D35"/>
    <w:rsid w:val="007C0886"/>
    <w:rsid w:val="007C4167"/>
    <w:rsid w:val="007D4048"/>
    <w:rsid w:val="007E3F7E"/>
    <w:rsid w:val="007E4165"/>
    <w:rsid w:val="007F0004"/>
    <w:rsid w:val="007F3315"/>
    <w:rsid w:val="007F5D36"/>
    <w:rsid w:val="007F6736"/>
    <w:rsid w:val="0080316E"/>
    <w:rsid w:val="00803979"/>
    <w:rsid w:val="00806D5C"/>
    <w:rsid w:val="00806FBA"/>
    <w:rsid w:val="00807B73"/>
    <w:rsid w:val="00813A04"/>
    <w:rsid w:val="00816FCE"/>
    <w:rsid w:val="0081783C"/>
    <w:rsid w:val="00821717"/>
    <w:rsid w:val="00822442"/>
    <w:rsid w:val="00826D78"/>
    <w:rsid w:val="008352F9"/>
    <w:rsid w:val="00835D5F"/>
    <w:rsid w:val="00835DAA"/>
    <w:rsid w:val="008464F6"/>
    <w:rsid w:val="0085118A"/>
    <w:rsid w:val="00852BC9"/>
    <w:rsid w:val="0085693F"/>
    <w:rsid w:val="00857F73"/>
    <w:rsid w:val="008626B7"/>
    <w:rsid w:val="00864F82"/>
    <w:rsid w:val="00864F85"/>
    <w:rsid w:val="00864F88"/>
    <w:rsid w:val="0086753E"/>
    <w:rsid w:val="00867690"/>
    <w:rsid w:val="0087292F"/>
    <w:rsid w:val="0087734A"/>
    <w:rsid w:val="0088176E"/>
    <w:rsid w:val="00886D5F"/>
    <w:rsid w:val="0088735C"/>
    <w:rsid w:val="00887C69"/>
    <w:rsid w:val="00887E78"/>
    <w:rsid w:val="008906B8"/>
    <w:rsid w:val="00892A6C"/>
    <w:rsid w:val="00896302"/>
    <w:rsid w:val="00897176"/>
    <w:rsid w:val="008A0B1E"/>
    <w:rsid w:val="008A2EF6"/>
    <w:rsid w:val="008A5555"/>
    <w:rsid w:val="008A7867"/>
    <w:rsid w:val="008B3876"/>
    <w:rsid w:val="008C0F2B"/>
    <w:rsid w:val="008C3FF3"/>
    <w:rsid w:val="008C5521"/>
    <w:rsid w:val="008D0528"/>
    <w:rsid w:val="008D2084"/>
    <w:rsid w:val="008D3E13"/>
    <w:rsid w:val="008D55EF"/>
    <w:rsid w:val="008E0AD0"/>
    <w:rsid w:val="008E14E0"/>
    <w:rsid w:val="008E2CD0"/>
    <w:rsid w:val="008E62FC"/>
    <w:rsid w:val="008E7803"/>
    <w:rsid w:val="008F06F6"/>
    <w:rsid w:val="008F1650"/>
    <w:rsid w:val="008F403B"/>
    <w:rsid w:val="008F4B36"/>
    <w:rsid w:val="008F6FE1"/>
    <w:rsid w:val="0090268E"/>
    <w:rsid w:val="00904489"/>
    <w:rsid w:val="0091207F"/>
    <w:rsid w:val="009245BA"/>
    <w:rsid w:val="0092509A"/>
    <w:rsid w:val="00931DA7"/>
    <w:rsid w:val="00932C2A"/>
    <w:rsid w:val="00937291"/>
    <w:rsid w:val="00940CAD"/>
    <w:rsid w:val="009420AB"/>
    <w:rsid w:val="00945127"/>
    <w:rsid w:val="009466CD"/>
    <w:rsid w:val="00951E0B"/>
    <w:rsid w:val="00960DA7"/>
    <w:rsid w:val="00963011"/>
    <w:rsid w:val="0096549B"/>
    <w:rsid w:val="009669F6"/>
    <w:rsid w:val="00967191"/>
    <w:rsid w:val="0097260F"/>
    <w:rsid w:val="00973299"/>
    <w:rsid w:val="009763AB"/>
    <w:rsid w:val="00981A20"/>
    <w:rsid w:val="00986B78"/>
    <w:rsid w:val="00990281"/>
    <w:rsid w:val="009924F7"/>
    <w:rsid w:val="0099656B"/>
    <w:rsid w:val="00996D03"/>
    <w:rsid w:val="009A3B34"/>
    <w:rsid w:val="009A71F6"/>
    <w:rsid w:val="009B2805"/>
    <w:rsid w:val="009B349A"/>
    <w:rsid w:val="009C2A0E"/>
    <w:rsid w:val="009D1147"/>
    <w:rsid w:val="009D1B9D"/>
    <w:rsid w:val="009D44B8"/>
    <w:rsid w:val="009E0EA2"/>
    <w:rsid w:val="009E1A0B"/>
    <w:rsid w:val="009E6C62"/>
    <w:rsid w:val="009E7797"/>
    <w:rsid w:val="009F1A1D"/>
    <w:rsid w:val="009F4496"/>
    <w:rsid w:val="009F451E"/>
    <w:rsid w:val="00A00CBA"/>
    <w:rsid w:val="00A02BB8"/>
    <w:rsid w:val="00A047F8"/>
    <w:rsid w:val="00A05A9B"/>
    <w:rsid w:val="00A13633"/>
    <w:rsid w:val="00A15022"/>
    <w:rsid w:val="00A15445"/>
    <w:rsid w:val="00A20473"/>
    <w:rsid w:val="00A20E6C"/>
    <w:rsid w:val="00A2131C"/>
    <w:rsid w:val="00A22A59"/>
    <w:rsid w:val="00A23A7A"/>
    <w:rsid w:val="00A240D8"/>
    <w:rsid w:val="00A24A02"/>
    <w:rsid w:val="00A26FFB"/>
    <w:rsid w:val="00A31571"/>
    <w:rsid w:val="00A31DBF"/>
    <w:rsid w:val="00A35948"/>
    <w:rsid w:val="00A3677C"/>
    <w:rsid w:val="00A379FB"/>
    <w:rsid w:val="00A414F3"/>
    <w:rsid w:val="00A50437"/>
    <w:rsid w:val="00A520C1"/>
    <w:rsid w:val="00A550D1"/>
    <w:rsid w:val="00A624B6"/>
    <w:rsid w:val="00A62539"/>
    <w:rsid w:val="00A6498C"/>
    <w:rsid w:val="00A65235"/>
    <w:rsid w:val="00A65879"/>
    <w:rsid w:val="00A665BC"/>
    <w:rsid w:val="00A66A21"/>
    <w:rsid w:val="00A676A6"/>
    <w:rsid w:val="00A71D5B"/>
    <w:rsid w:val="00A72B0D"/>
    <w:rsid w:val="00A73218"/>
    <w:rsid w:val="00A76A03"/>
    <w:rsid w:val="00A83E02"/>
    <w:rsid w:val="00A83F59"/>
    <w:rsid w:val="00A85E4C"/>
    <w:rsid w:val="00A861EA"/>
    <w:rsid w:val="00A87A3C"/>
    <w:rsid w:val="00A932C5"/>
    <w:rsid w:val="00AA2130"/>
    <w:rsid w:val="00AA33BF"/>
    <w:rsid w:val="00AA3F4B"/>
    <w:rsid w:val="00AA64B2"/>
    <w:rsid w:val="00AB2803"/>
    <w:rsid w:val="00AB7319"/>
    <w:rsid w:val="00AC12B1"/>
    <w:rsid w:val="00AC31C4"/>
    <w:rsid w:val="00AD0885"/>
    <w:rsid w:val="00AD362F"/>
    <w:rsid w:val="00AD6668"/>
    <w:rsid w:val="00AE1124"/>
    <w:rsid w:val="00AE17C7"/>
    <w:rsid w:val="00AE1D74"/>
    <w:rsid w:val="00AE2922"/>
    <w:rsid w:val="00AE3057"/>
    <w:rsid w:val="00AF5B66"/>
    <w:rsid w:val="00AF799E"/>
    <w:rsid w:val="00B00030"/>
    <w:rsid w:val="00B01999"/>
    <w:rsid w:val="00B05AE0"/>
    <w:rsid w:val="00B07A65"/>
    <w:rsid w:val="00B130E4"/>
    <w:rsid w:val="00B139B4"/>
    <w:rsid w:val="00B2277A"/>
    <w:rsid w:val="00B24C52"/>
    <w:rsid w:val="00B24C8A"/>
    <w:rsid w:val="00B2677E"/>
    <w:rsid w:val="00B27A21"/>
    <w:rsid w:val="00B31E7C"/>
    <w:rsid w:val="00B35B12"/>
    <w:rsid w:val="00B37C36"/>
    <w:rsid w:val="00B40FAE"/>
    <w:rsid w:val="00B45E22"/>
    <w:rsid w:val="00B46DA0"/>
    <w:rsid w:val="00B639B9"/>
    <w:rsid w:val="00B671EB"/>
    <w:rsid w:val="00B76662"/>
    <w:rsid w:val="00B812AD"/>
    <w:rsid w:val="00B82007"/>
    <w:rsid w:val="00B86D75"/>
    <w:rsid w:val="00B8733E"/>
    <w:rsid w:val="00B94079"/>
    <w:rsid w:val="00B95D73"/>
    <w:rsid w:val="00B9603B"/>
    <w:rsid w:val="00B96929"/>
    <w:rsid w:val="00B96A76"/>
    <w:rsid w:val="00BA2F6C"/>
    <w:rsid w:val="00BB248B"/>
    <w:rsid w:val="00BB5CE3"/>
    <w:rsid w:val="00BB7C90"/>
    <w:rsid w:val="00BC0D7A"/>
    <w:rsid w:val="00BC410B"/>
    <w:rsid w:val="00BC4217"/>
    <w:rsid w:val="00BC5B71"/>
    <w:rsid w:val="00BD61D5"/>
    <w:rsid w:val="00BD6F70"/>
    <w:rsid w:val="00BD74E3"/>
    <w:rsid w:val="00BE4FE1"/>
    <w:rsid w:val="00BE6041"/>
    <w:rsid w:val="00BE78F2"/>
    <w:rsid w:val="00BE7BB0"/>
    <w:rsid w:val="00BF32C1"/>
    <w:rsid w:val="00BF5C05"/>
    <w:rsid w:val="00C00628"/>
    <w:rsid w:val="00C0089D"/>
    <w:rsid w:val="00C04202"/>
    <w:rsid w:val="00C05B3F"/>
    <w:rsid w:val="00C12289"/>
    <w:rsid w:val="00C1446E"/>
    <w:rsid w:val="00C16F9C"/>
    <w:rsid w:val="00C171EE"/>
    <w:rsid w:val="00C22236"/>
    <w:rsid w:val="00C22A4B"/>
    <w:rsid w:val="00C231B2"/>
    <w:rsid w:val="00C26E8D"/>
    <w:rsid w:val="00C26F28"/>
    <w:rsid w:val="00C30B3D"/>
    <w:rsid w:val="00C31838"/>
    <w:rsid w:val="00C36E51"/>
    <w:rsid w:val="00C41AB7"/>
    <w:rsid w:val="00C451C7"/>
    <w:rsid w:val="00C45222"/>
    <w:rsid w:val="00C463AC"/>
    <w:rsid w:val="00C471B5"/>
    <w:rsid w:val="00C474B1"/>
    <w:rsid w:val="00C52854"/>
    <w:rsid w:val="00C539A9"/>
    <w:rsid w:val="00C559B0"/>
    <w:rsid w:val="00C72B23"/>
    <w:rsid w:val="00C732F7"/>
    <w:rsid w:val="00C73A24"/>
    <w:rsid w:val="00C77E84"/>
    <w:rsid w:val="00C87081"/>
    <w:rsid w:val="00C900AC"/>
    <w:rsid w:val="00C91C4E"/>
    <w:rsid w:val="00CA3DAE"/>
    <w:rsid w:val="00CB3238"/>
    <w:rsid w:val="00CB4D62"/>
    <w:rsid w:val="00CB7483"/>
    <w:rsid w:val="00CC33C1"/>
    <w:rsid w:val="00CC3A47"/>
    <w:rsid w:val="00CC4518"/>
    <w:rsid w:val="00CC570C"/>
    <w:rsid w:val="00CC75A3"/>
    <w:rsid w:val="00CD0BAC"/>
    <w:rsid w:val="00CD0CBC"/>
    <w:rsid w:val="00CD400B"/>
    <w:rsid w:val="00CE2736"/>
    <w:rsid w:val="00CE38D7"/>
    <w:rsid w:val="00CE5CAF"/>
    <w:rsid w:val="00CE73D5"/>
    <w:rsid w:val="00CF04CA"/>
    <w:rsid w:val="00CF120F"/>
    <w:rsid w:val="00CF35E5"/>
    <w:rsid w:val="00CF4389"/>
    <w:rsid w:val="00CF7E1C"/>
    <w:rsid w:val="00D0210B"/>
    <w:rsid w:val="00D02113"/>
    <w:rsid w:val="00D046C8"/>
    <w:rsid w:val="00D04769"/>
    <w:rsid w:val="00D14B2E"/>
    <w:rsid w:val="00D150AF"/>
    <w:rsid w:val="00D167E4"/>
    <w:rsid w:val="00D16E6C"/>
    <w:rsid w:val="00D21D63"/>
    <w:rsid w:val="00D237C7"/>
    <w:rsid w:val="00D256AA"/>
    <w:rsid w:val="00D30F74"/>
    <w:rsid w:val="00D32D38"/>
    <w:rsid w:val="00D337A8"/>
    <w:rsid w:val="00D35372"/>
    <w:rsid w:val="00D353CB"/>
    <w:rsid w:val="00D36FCD"/>
    <w:rsid w:val="00D376E7"/>
    <w:rsid w:val="00D54481"/>
    <w:rsid w:val="00D56B12"/>
    <w:rsid w:val="00D7026A"/>
    <w:rsid w:val="00D70B0D"/>
    <w:rsid w:val="00D812AB"/>
    <w:rsid w:val="00D813E9"/>
    <w:rsid w:val="00D847FD"/>
    <w:rsid w:val="00D84ED4"/>
    <w:rsid w:val="00D85594"/>
    <w:rsid w:val="00D856BC"/>
    <w:rsid w:val="00D85CAB"/>
    <w:rsid w:val="00D86F06"/>
    <w:rsid w:val="00D9345A"/>
    <w:rsid w:val="00D94785"/>
    <w:rsid w:val="00DB222A"/>
    <w:rsid w:val="00DB6018"/>
    <w:rsid w:val="00DB6053"/>
    <w:rsid w:val="00DC54BD"/>
    <w:rsid w:val="00DD15C8"/>
    <w:rsid w:val="00DD5B90"/>
    <w:rsid w:val="00DD7067"/>
    <w:rsid w:val="00DE0B3C"/>
    <w:rsid w:val="00DE2093"/>
    <w:rsid w:val="00DE4E07"/>
    <w:rsid w:val="00DE5607"/>
    <w:rsid w:val="00DE6486"/>
    <w:rsid w:val="00DF7F7E"/>
    <w:rsid w:val="00E002F8"/>
    <w:rsid w:val="00E037A2"/>
    <w:rsid w:val="00E03B4B"/>
    <w:rsid w:val="00E03FA6"/>
    <w:rsid w:val="00E052C5"/>
    <w:rsid w:val="00E055B7"/>
    <w:rsid w:val="00E0786E"/>
    <w:rsid w:val="00E146FE"/>
    <w:rsid w:val="00E149D9"/>
    <w:rsid w:val="00E14A06"/>
    <w:rsid w:val="00E16215"/>
    <w:rsid w:val="00E25658"/>
    <w:rsid w:val="00E3192A"/>
    <w:rsid w:val="00E34AAD"/>
    <w:rsid w:val="00E3542B"/>
    <w:rsid w:val="00E35D13"/>
    <w:rsid w:val="00E36859"/>
    <w:rsid w:val="00E37D15"/>
    <w:rsid w:val="00E40D22"/>
    <w:rsid w:val="00E461A5"/>
    <w:rsid w:val="00E46C99"/>
    <w:rsid w:val="00E54434"/>
    <w:rsid w:val="00E5763B"/>
    <w:rsid w:val="00E6244D"/>
    <w:rsid w:val="00E63590"/>
    <w:rsid w:val="00E63905"/>
    <w:rsid w:val="00E66265"/>
    <w:rsid w:val="00E67DD3"/>
    <w:rsid w:val="00E71BD2"/>
    <w:rsid w:val="00E71E23"/>
    <w:rsid w:val="00E753F1"/>
    <w:rsid w:val="00E80F35"/>
    <w:rsid w:val="00E84864"/>
    <w:rsid w:val="00E859EE"/>
    <w:rsid w:val="00E90912"/>
    <w:rsid w:val="00E90FC1"/>
    <w:rsid w:val="00E91B5F"/>
    <w:rsid w:val="00E95DE5"/>
    <w:rsid w:val="00EB0805"/>
    <w:rsid w:val="00EB7CAB"/>
    <w:rsid w:val="00EC0DBB"/>
    <w:rsid w:val="00EC1BEC"/>
    <w:rsid w:val="00EC4202"/>
    <w:rsid w:val="00EC55FC"/>
    <w:rsid w:val="00EE1E27"/>
    <w:rsid w:val="00EE35F3"/>
    <w:rsid w:val="00EE36DD"/>
    <w:rsid w:val="00EE389D"/>
    <w:rsid w:val="00EE4159"/>
    <w:rsid w:val="00EE5FF9"/>
    <w:rsid w:val="00EE68CB"/>
    <w:rsid w:val="00EF2369"/>
    <w:rsid w:val="00EF5C3C"/>
    <w:rsid w:val="00F10D12"/>
    <w:rsid w:val="00F120EA"/>
    <w:rsid w:val="00F16D85"/>
    <w:rsid w:val="00F21777"/>
    <w:rsid w:val="00F2235E"/>
    <w:rsid w:val="00F2479A"/>
    <w:rsid w:val="00F27142"/>
    <w:rsid w:val="00F30066"/>
    <w:rsid w:val="00F30664"/>
    <w:rsid w:val="00F32C8F"/>
    <w:rsid w:val="00F35C54"/>
    <w:rsid w:val="00F51BEB"/>
    <w:rsid w:val="00F52A8F"/>
    <w:rsid w:val="00F5327A"/>
    <w:rsid w:val="00F62AAF"/>
    <w:rsid w:val="00F70E93"/>
    <w:rsid w:val="00F7278D"/>
    <w:rsid w:val="00F8512D"/>
    <w:rsid w:val="00F900E4"/>
    <w:rsid w:val="00F9171E"/>
    <w:rsid w:val="00F92D3E"/>
    <w:rsid w:val="00F93AEC"/>
    <w:rsid w:val="00F94429"/>
    <w:rsid w:val="00F95A99"/>
    <w:rsid w:val="00F96396"/>
    <w:rsid w:val="00FA0F2C"/>
    <w:rsid w:val="00FA20BD"/>
    <w:rsid w:val="00FA3165"/>
    <w:rsid w:val="00FA3ACC"/>
    <w:rsid w:val="00FB59EE"/>
    <w:rsid w:val="00FB6DDC"/>
    <w:rsid w:val="00FC1EF7"/>
    <w:rsid w:val="00FC278C"/>
    <w:rsid w:val="00FC3221"/>
    <w:rsid w:val="00FC323C"/>
    <w:rsid w:val="00FC55B1"/>
    <w:rsid w:val="00FD795D"/>
    <w:rsid w:val="00FE5303"/>
    <w:rsid w:val="00FE77A6"/>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67A6B-4466-4CC1-A8F1-8C5975E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E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0F"/>
  </w:style>
  <w:style w:type="paragraph" w:styleId="Footer">
    <w:name w:val="footer"/>
    <w:basedOn w:val="Normal"/>
    <w:link w:val="FooterChar"/>
    <w:uiPriority w:val="99"/>
    <w:unhideWhenUsed/>
    <w:rsid w:val="00972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0F"/>
  </w:style>
  <w:style w:type="paragraph" w:styleId="BalloonText">
    <w:name w:val="Balloon Text"/>
    <w:basedOn w:val="Normal"/>
    <w:link w:val="BalloonTextChar"/>
    <w:uiPriority w:val="99"/>
    <w:semiHidden/>
    <w:unhideWhenUsed/>
    <w:rsid w:val="0097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0F"/>
    <w:rPr>
      <w:rFonts w:ascii="Segoe UI" w:hAnsi="Segoe UI" w:cs="Segoe UI"/>
      <w:sz w:val="18"/>
      <w:szCs w:val="18"/>
    </w:rPr>
  </w:style>
  <w:style w:type="character" w:customStyle="1" w:styleId="Heading1Char">
    <w:name w:val="Heading 1 Char"/>
    <w:basedOn w:val="DefaultParagraphFont"/>
    <w:link w:val="Heading1"/>
    <w:uiPriority w:val="9"/>
    <w:rsid w:val="0097260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C0063"/>
    <w:pPr>
      <w:ind w:left="720"/>
      <w:contextualSpacing/>
    </w:pPr>
  </w:style>
  <w:style w:type="table" w:customStyle="1" w:styleId="GridTable41">
    <w:name w:val="Grid Table 41"/>
    <w:basedOn w:val="TableNormal"/>
    <w:uiPriority w:val="49"/>
    <w:rsid w:val="00B2677E"/>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1D2E4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4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658"/>
    <w:rPr>
      <w:sz w:val="16"/>
      <w:szCs w:val="16"/>
    </w:rPr>
  </w:style>
  <w:style w:type="paragraph" w:styleId="CommentText">
    <w:name w:val="annotation text"/>
    <w:basedOn w:val="Normal"/>
    <w:link w:val="CommentTextChar"/>
    <w:uiPriority w:val="99"/>
    <w:semiHidden/>
    <w:unhideWhenUsed/>
    <w:rsid w:val="00E25658"/>
    <w:pPr>
      <w:spacing w:line="240" w:lineRule="auto"/>
    </w:pPr>
    <w:rPr>
      <w:sz w:val="20"/>
      <w:szCs w:val="20"/>
    </w:rPr>
  </w:style>
  <w:style w:type="character" w:customStyle="1" w:styleId="CommentTextChar">
    <w:name w:val="Comment Text Char"/>
    <w:basedOn w:val="DefaultParagraphFont"/>
    <w:link w:val="CommentText"/>
    <w:uiPriority w:val="99"/>
    <w:semiHidden/>
    <w:rsid w:val="00E25658"/>
    <w:rPr>
      <w:sz w:val="20"/>
      <w:szCs w:val="20"/>
    </w:rPr>
  </w:style>
  <w:style w:type="paragraph" w:styleId="CommentSubject">
    <w:name w:val="annotation subject"/>
    <w:basedOn w:val="CommentText"/>
    <w:next w:val="CommentText"/>
    <w:link w:val="CommentSubjectChar"/>
    <w:uiPriority w:val="99"/>
    <w:semiHidden/>
    <w:unhideWhenUsed/>
    <w:rsid w:val="00E25658"/>
    <w:rPr>
      <w:b/>
      <w:bCs/>
    </w:rPr>
  </w:style>
  <w:style w:type="character" w:customStyle="1" w:styleId="CommentSubjectChar">
    <w:name w:val="Comment Subject Char"/>
    <w:basedOn w:val="CommentTextChar"/>
    <w:link w:val="CommentSubject"/>
    <w:uiPriority w:val="99"/>
    <w:semiHidden/>
    <w:rsid w:val="00E25658"/>
    <w:rPr>
      <w:b/>
      <w:bCs/>
      <w:sz w:val="20"/>
      <w:szCs w:val="20"/>
    </w:rPr>
  </w:style>
  <w:style w:type="paragraph" w:styleId="NoSpacing">
    <w:name w:val="No Spacing"/>
    <w:uiPriority w:val="1"/>
    <w:qFormat/>
    <w:rsid w:val="0055672C"/>
    <w:pPr>
      <w:spacing w:after="0" w:line="240" w:lineRule="auto"/>
    </w:pPr>
  </w:style>
  <w:style w:type="paragraph" w:styleId="TOCHeading">
    <w:name w:val="TOC Heading"/>
    <w:basedOn w:val="Heading1"/>
    <w:next w:val="Normal"/>
    <w:uiPriority w:val="39"/>
    <w:unhideWhenUsed/>
    <w:qFormat/>
    <w:rsid w:val="009669F6"/>
    <w:pPr>
      <w:spacing w:line="259" w:lineRule="auto"/>
      <w:outlineLvl w:val="9"/>
    </w:pPr>
    <w:rPr>
      <w:lang w:val="en-US"/>
    </w:rPr>
  </w:style>
  <w:style w:type="paragraph" w:styleId="TOC1">
    <w:name w:val="toc 1"/>
    <w:basedOn w:val="Normal"/>
    <w:next w:val="Normal"/>
    <w:autoRedefine/>
    <w:uiPriority w:val="39"/>
    <w:unhideWhenUsed/>
    <w:rsid w:val="009669F6"/>
    <w:pPr>
      <w:spacing w:after="100"/>
    </w:pPr>
  </w:style>
  <w:style w:type="paragraph" w:styleId="TOC2">
    <w:name w:val="toc 2"/>
    <w:basedOn w:val="Normal"/>
    <w:next w:val="Normal"/>
    <w:autoRedefine/>
    <w:uiPriority w:val="39"/>
    <w:unhideWhenUsed/>
    <w:rsid w:val="009669F6"/>
    <w:pPr>
      <w:spacing w:after="100"/>
      <w:ind w:left="220"/>
    </w:pPr>
  </w:style>
  <w:style w:type="character" w:styleId="Hyperlink">
    <w:name w:val="Hyperlink"/>
    <w:basedOn w:val="DefaultParagraphFont"/>
    <w:uiPriority w:val="99"/>
    <w:unhideWhenUsed/>
    <w:rsid w:val="009669F6"/>
    <w:rPr>
      <w:color w:val="0000FF" w:themeColor="hyperlink"/>
      <w:u w:val="single"/>
    </w:rPr>
  </w:style>
  <w:style w:type="character" w:styleId="SubtleEmphasis">
    <w:name w:val="Subtle Emphasis"/>
    <w:basedOn w:val="DefaultParagraphFont"/>
    <w:uiPriority w:val="19"/>
    <w:qFormat/>
    <w:rsid w:val="00CD40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5701">
      <w:bodyDiv w:val="1"/>
      <w:marLeft w:val="0"/>
      <w:marRight w:val="0"/>
      <w:marTop w:val="0"/>
      <w:marBottom w:val="0"/>
      <w:divBdr>
        <w:top w:val="none" w:sz="0" w:space="0" w:color="auto"/>
        <w:left w:val="none" w:sz="0" w:space="0" w:color="auto"/>
        <w:bottom w:val="none" w:sz="0" w:space="0" w:color="auto"/>
        <w:right w:val="none" w:sz="0" w:space="0" w:color="auto"/>
      </w:divBdr>
    </w:div>
    <w:div w:id="664354785">
      <w:bodyDiv w:val="1"/>
      <w:marLeft w:val="0"/>
      <w:marRight w:val="0"/>
      <w:marTop w:val="0"/>
      <w:marBottom w:val="0"/>
      <w:divBdr>
        <w:top w:val="none" w:sz="0" w:space="0" w:color="auto"/>
        <w:left w:val="none" w:sz="0" w:space="0" w:color="auto"/>
        <w:bottom w:val="none" w:sz="0" w:space="0" w:color="auto"/>
        <w:right w:val="none" w:sz="0" w:space="0" w:color="auto"/>
      </w:divBdr>
    </w:div>
    <w:div w:id="736130211">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456680071">
      <w:bodyDiv w:val="1"/>
      <w:marLeft w:val="0"/>
      <w:marRight w:val="0"/>
      <w:marTop w:val="0"/>
      <w:marBottom w:val="0"/>
      <w:divBdr>
        <w:top w:val="none" w:sz="0" w:space="0" w:color="auto"/>
        <w:left w:val="none" w:sz="0" w:space="0" w:color="auto"/>
        <w:bottom w:val="none" w:sz="0" w:space="0" w:color="auto"/>
        <w:right w:val="none" w:sz="0" w:space="0" w:color="auto"/>
      </w:divBdr>
    </w:div>
    <w:div w:id="1596091824">
      <w:bodyDiv w:val="1"/>
      <w:marLeft w:val="0"/>
      <w:marRight w:val="0"/>
      <w:marTop w:val="0"/>
      <w:marBottom w:val="0"/>
      <w:divBdr>
        <w:top w:val="none" w:sz="0" w:space="0" w:color="auto"/>
        <w:left w:val="none" w:sz="0" w:space="0" w:color="auto"/>
        <w:bottom w:val="none" w:sz="0" w:space="0" w:color="auto"/>
        <w:right w:val="none" w:sz="0" w:space="0" w:color="auto"/>
      </w:divBdr>
    </w:div>
    <w:div w:id="1940285021">
      <w:bodyDiv w:val="1"/>
      <w:marLeft w:val="0"/>
      <w:marRight w:val="0"/>
      <w:marTop w:val="0"/>
      <w:marBottom w:val="0"/>
      <w:divBdr>
        <w:top w:val="none" w:sz="0" w:space="0" w:color="auto"/>
        <w:left w:val="none" w:sz="0" w:space="0" w:color="auto"/>
        <w:bottom w:val="none" w:sz="0" w:space="0" w:color="auto"/>
        <w:right w:val="none" w:sz="0" w:space="0" w:color="auto"/>
      </w:divBdr>
    </w:div>
    <w:div w:id="19706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chart" Target="charts/chart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39.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2.xml"/><Relationship Id="rId1" Type="http://schemas.microsoft.com/office/2011/relationships/chartStyle" Target="style2.xm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7949664544035E-2"/>
          <c:y val="5.4798268750888897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Sheet1!$A$2:$A$11</c:f>
              <c:strCache>
                <c:ptCount val="7"/>
                <c:pt idx="0">
                  <c:v>Enhanced </c:v>
                </c:pt>
                <c:pt idx="1">
                  <c:v>Basic Support </c:v>
                </c:pt>
                <c:pt idx="2">
                  <c:v>Referred to Specialist Organisations</c:v>
                </c:pt>
                <c:pt idx="3">
                  <c:v>Closed No Details </c:v>
                </c:pt>
                <c:pt idx="4">
                  <c:v>No Answer Not safe to send letter </c:v>
                </c:pt>
                <c:pt idx="5">
                  <c:v>Contact Police Dept</c:v>
                </c:pt>
                <c:pt idx="6">
                  <c:v>Duplicate Cases </c:v>
                </c:pt>
              </c:strCache>
            </c:strRef>
          </c:cat>
          <c:val>
            <c:numRef>
              <c:f>Sheet1!$B$2:$B$11</c:f>
              <c:numCache>
                <c:formatCode>General</c:formatCode>
                <c:ptCount val="10"/>
                <c:pt idx="0">
                  <c:v>2054</c:v>
                </c:pt>
                <c:pt idx="1">
                  <c:v>8538</c:v>
                </c:pt>
                <c:pt idx="2">
                  <c:v>725</c:v>
                </c:pt>
                <c:pt idx="3">
                  <c:v>271</c:v>
                </c:pt>
                <c:pt idx="4">
                  <c:v>849</c:v>
                </c:pt>
                <c:pt idx="5">
                  <c:v>62</c:v>
                </c:pt>
                <c:pt idx="6">
                  <c:v>316</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237</c:v>
                </c:pt>
                <c:pt idx="1">
                  <c:v>1145</c:v>
                </c:pt>
                <c:pt idx="2">
                  <c:v>2046</c:v>
                </c:pt>
                <c:pt idx="3">
                  <c:v>1415</c:v>
                </c:pt>
                <c:pt idx="4">
                  <c:v>2425</c:v>
                </c:pt>
                <c:pt idx="5">
                  <c:v>2160</c:v>
                </c:pt>
                <c:pt idx="6">
                  <c:v>1396</c:v>
                </c:pt>
                <c:pt idx="7">
                  <c:v>773</c:v>
                </c:pt>
                <c:pt idx="8">
                  <c:v>394</c:v>
                </c:pt>
                <c:pt idx="9">
                  <c:v>270</c:v>
                </c:pt>
                <c:pt idx="10">
                  <c:v>48</c:v>
                </c:pt>
                <c:pt idx="11">
                  <c:v>505</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36</c:v>
                </c:pt>
                <c:pt idx="1">
                  <c:v>115</c:v>
                </c:pt>
                <c:pt idx="2">
                  <c:v>291</c:v>
                </c:pt>
                <c:pt idx="3">
                  <c:v>226</c:v>
                </c:pt>
                <c:pt idx="4">
                  <c:v>427</c:v>
                </c:pt>
                <c:pt idx="5">
                  <c:v>392</c:v>
                </c:pt>
                <c:pt idx="6">
                  <c:v>255</c:v>
                </c:pt>
                <c:pt idx="7">
                  <c:v>158</c:v>
                </c:pt>
                <c:pt idx="8">
                  <c:v>84</c:v>
                </c:pt>
                <c:pt idx="9">
                  <c:v>34</c:v>
                </c:pt>
                <c:pt idx="10">
                  <c:v>12</c:v>
                </c:pt>
                <c:pt idx="11">
                  <c:v>24</c:v>
                </c:pt>
              </c:numCache>
            </c:numRef>
          </c:val>
        </c:ser>
        <c:dLbls>
          <c:dLblPos val="outEnd"/>
          <c:showLegendKey val="0"/>
          <c:showVal val="1"/>
          <c:showCatName val="0"/>
          <c:showSerName val="0"/>
          <c:showPercent val="0"/>
          <c:showBubbleSize val="0"/>
        </c:dLbls>
        <c:gapWidth val="444"/>
        <c:overlap val="-90"/>
        <c:axId val="586601840"/>
        <c:axId val="586602232"/>
      </c:barChart>
      <c:catAx>
        <c:axId val="586601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2232"/>
        <c:crosses val="autoZero"/>
        <c:auto val="1"/>
        <c:lblAlgn val="ctr"/>
        <c:lblOffset val="100"/>
        <c:noMultiLvlLbl val="0"/>
      </c:catAx>
      <c:valAx>
        <c:axId val="586602232"/>
        <c:scaling>
          <c:orientation val="minMax"/>
        </c:scaling>
        <c:delete val="1"/>
        <c:axPos val="l"/>
        <c:numFmt formatCode="General" sourceLinked="1"/>
        <c:majorTickMark val="none"/>
        <c:minorTickMark val="none"/>
        <c:tickLblPos val="nextTo"/>
        <c:crossAx val="586601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1569</c:v>
                </c:pt>
                <c:pt idx="1">
                  <c:v>13</c:v>
                </c:pt>
                <c:pt idx="2">
                  <c:v>0</c:v>
                </c:pt>
                <c:pt idx="3">
                  <c:v>93</c:v>
                </c:pt>
                <c:pt idx="4">
                  <c:v>15</c:v>
                </c:pt>
                <c:pt idx="5">
                  <c:v>25</c:v>
                </c:pt>
                <c:pt idx="6">
                  <c:v>8</c:v>
                </c:pt>
                <c:pt idx="7">
                  <c:v>353</c:v>
                </c:pt>
                <c:pt idx="8">
                  <c:v>34</c:v>
                </c:pt>
                <c:pt idx="9">
                  <c:v>8</c:v>
                </c:pt>
                <c:pt idx="10">
                  <c:v>9</c:v>
                </c:pt>
                <c:pt idx="11">
                  <c:v>28</c:v>
                </c:pt>
                <c:pt idx="12">
                  <c:v>17</c:v>
                </c:pt>
                <c:pt idx="13">
                  <c:v>15</c:v>
                </c:pt>
                <c:pt idx="14">
                  <c:v>7</c:v>
                </c:pt>
                <c:pt idx="15">
                  <c:v>18</c:v>
                </c:pt>
                <c:pt idx="16">
                  <c:v>26</c:v>
                </c:pt>
                <c:pt idx="17">
                  <c:v>48</c:v>
                </c:pt>
                <c:pt idx="18">
                  <c:v>10485</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1052</c:v>
                </c:pt>
                <c:pt idx="1">
                  <c:v>7</c:v>
                </c:pt>
                <c:pt idx="2">
                  <c:v>0</c:v>
                </c:pt>
                <c:pt idx="3">
                  <c:v>61</c:v>
                </c:pt>
                <c:pt idx="4">
                  <c:v>7</c:v>
                </c:pt>
                <c:pt idx="5">
                  <c:v>16</c:v>
                </c:pt>
                <c:pt idx="6">
                  <c:v>5</c:v>
                </c:pt>
                <c:pt idx="7">
                  <c:v>255</c:v>
                </c:pt>
                <c:pt idx="8">
                  <c:v>23</c:v>
                </c:pt>
                <c:pt idx="9">
                  <c:v>6</c:v>
                </c:pt>
                <c:pt idx="10">
                  <c:v>5</c:v>
                </c:pt>
                <c:pt idx="11">
                  <c:v>21</c:v>
                </c:pt>
                <c:pt idx="12">
                  <c:v>13</c:v>
                </c:pt>
                <c:pt idx="13">
                  <c:v>42</c:v>
                </c:pt>
                <c:pt idx="14">
                  <c:v>5</c:v>
                </c:pt>
                <c:pt idx="15">
                  <c:v>13</c:v>
                </c:pt>
                <c:pt idx="16">
                  <c:v>16</c:v>
                </c:pt>
                <c:pt idx="17">
                  <c:v>34</c:v>
                </c:pt>
                <c:pt idx="18">
                  <c:v>474</c:v>
                </c:pt>
              </c:numCache>
            </c:numRef>
          </c:val>
        </c:ser>
        <c:dLbls>
          <c:dLblPos val="outEnd"/>
          <c:showLegendKey val="0"/>
          <c:showVal val="1"/>
          <c:showCatName val="0"/>
          <c:showSerName val="0"/>
          <c:showPercent val="0"/>
          <c:showBubbleSize val="0"/>
        </c:dLbls>
        <c:gapWidth val="444"/>
        <c:overlap val="-90"/>
        <c:axId val="586603016"/>
        <c:axId val="586603408"/>
      </c:barChart>
      <c:catAx>
        <c:axId val="586603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3408"/>
        <c:crosses val="autoZero"/>
        <c:auto val="1"/>
        <c:lblAlgn val="ctr"/>
        <c:lblOffset val="100"/>
        <c:noMultiLvlLbl val="0"/>
      </c:catAx>
      <c:valAx>
        <c:axId val="586603408"/>
        <c:scaling>
          <c:orientation val="minMax"/>
        </c:scaling>
        <c:delete val="1"/>
        <c:axPos val="l"/>
        <c:numFmt formatCode="General" sourceLinked="1"/>
        <c:majorTickMark val="none"/>
        <c:minorTickMark val="none"/>
        <c:tickLblPos val="nextTo"/>
        <c:crossAx val="5866030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93113742461583"/>
          <c:y val="9.601516345889835E-2"/>
          <c:w val="0.82906886257538415"/>
          <c:h val="0.440457991120063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Sheet1!$B$2:$B$12</c:f>
              <c:numCache>
                <c:formatCode>General</c:formatCode>
                <c:ptCount val="11"/>
                <c:pt idx="0">
                  <c:v>44</c:v>
                </c:pt>
                <c:pt idx="1">
                  <c:v>19</c:v>
                </c:pt>
                <c:pt idx="2">
                  <c:v>31</c:v>
                </c:pt>
                <c:pt idx="3">
                  <c:v>81</c:v>
                </c:pt>
                <c:pt idx="4">
                  <c:v>19</c:v>
                </c:pt>
                <c:pt idx="5">
                  <c:v>159</c:v>
                </c:pt>
                <c:pt idx="6">
                  <c:v>96</c:v>
                </c:pt>
                <c:pt idx="7">
                  <c:v>135</c:v>
                </c:pt>
                <c:pt idx="8">
                  <c:v>42</c:v>
                </c:pt>
                <c:pt idx="9">
                  <c:v>1642</c:v>
                </c:pt>
                <c:pt idx="10">
                  <c:v>10546</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Sheet1!$C$2:$C$12</c:f>
              <c:numCache>
                <c:formatCode>General</c:formatCode>
                <c:ptCount val="11"/>
                <c:pt idx="0">
                  <c:v>36</c:v>
                </c:pt>
                <c:pt idx="1">
                  <c:v>9</c:v>
                </c:pt>
                <c:pt idx="2">
                  <c:v>12</c:v>
                </c:pt>
                <c:pt idx="3">
                  <c:v>65</c:v>
                </c:pt>
                <c:pt idx="4">
                  <c:v>13</c:v>
                </c:pt>
                <c:pt idx="5">
                  <c:v>135</c:v>
                </c:pt>
                <c:pt idx="6">
                  <c:v>73</c:v>
                </c:pt>
                <c:pt idx="7">
                  <c:v>101</c:v>
                </c:pt>
                <c:pt idx="8">
                  <c:v>29</c:v>
                </c:pt>
                <c:pt idx="9">
                  <c:v>1044</c:v>
                </c:pt>
                <c:pt idx="10">
                  <c:v>537</c:v>
                </c:pt>
              </c:numCache>
            </c:numRef>
          </c:val>
        </c:ser>
        <c:dLbls>
          <c:dLblPos val="outEnd"/>
          <c:showLegendKey val="0"/>
          <c:showVal val="1"/>
          <c:showCatName val="0"/>
          <c:showSerName val="0"/>
          <c:showPercent val="0"/>
          <c:showBubbleSize val="0"/>
        </c:dLbls>
        <c:gapWidth val="444"/>
        <c:overlap val="-90"/>
        <c:axId val="586604192"/>
        <c:axId val="586604584"/>
      </c:barChart>
      <c:catAx>
        <c:axId val="586604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4584"/>
        <c:crosses val="autoZero"/>
        <c:auto val="1"/>
        <c:lblAlgn val="ctr"/>
        <c:lblOffset val="100"/>
        <c:noMultiLvlLbl val="0"/>
      </c:catAx>
      <c:valAx>
        <c:axId val="586604584"/>
        <c:scaling>
          <c:orientation val="minMax"/>
        </c:scaling>
        <c:delete val="1"/>
        <c:axPos val="l"/>
        <c:numFmt formatCode="General" sourceLinked="1"/>
        <c:majorTickMark val="none"/>
        <c:minorTickMark val="none"/>
        <c:tickLblPos val="nextTo"/>
        <c:crossAx val="586604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c:v>
                </c:pt>
              </c:strCache>
            </c:strRef>
          </c:tx>
          <c:spPr>
            <a:solidFill>
              <a:srgbClr val="0070C0"/>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Sheet1!$B$2:$B$11</c:f>
              <c:numCache>
                <c:formatCode>General</c:formatCode>
                <c:ptCount val="10"/>
                <c:pt idx="0">
                  <c:v>595</c:v>
                </c:pt>
                <c:pt idx="1">
                  <c:v>5</c:v>
                </c:pt>
                <c:pt idx="2">
                  <c:v>143</c:v>
                </c:pt>
                <c:pt idx="3">
                  <c:v>3</c:v>
                </c:pt>
                <c:pt idx="4">
                  <c:v>177</c:v>
                </c:pt>
                <c:pt idx="5">
                  <c:v>73</c:v>
                </c:pt>
                <c:pt idx="6">
                  <c:v>29</c:v>
                </c:pt>
                <c:pt idx="7">
                  <c:v>880</c:v>
                </c:pt>
                <c:pt idx="8">
                  <c:v>89</c:v>
                </c:pt>
                <c:pt idx="9">
                  <c:v>10820</c:v>
                </c:pt>
              </c:numCache>
            </c:numRef>
          </c:val>
        </c:ser>
        <c:ser>
          <c:idx val="1"/>
          <c:order val="1"/>
          <c:tx>
            <c:strRef>
              <c:f>Sheet1!$C$1</c:f>
              <c:strCache>
                <c:ptCount val="1"/>
                <c:pt idx="0">
                  <c:v>Closed and received enhanced support</c:v>
                </c:pt>
              </c:strCache>
            </c:strRef>
          </c:tx>
          <c:spPr>
            <a:solidFill>
              <a:schemeClr val="accent6"/>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Sheet1!$C$2:$C$11</c:f>
              <c:numCache>
                <c:formatCode>General</c:formatCode>
                <c:ptCount val="10"/>
                <c:pt idx="0">
                  <c:v>410</c:v>
                </c:pt>
                <c:pt idx="1">
                  <c:v>5</c:v>
                </c:pt>
                <c:pt idx="2">
                  <c:v>104</c:v>
                </c:pt>
                <c:pt idx="3">
                  <c:v>1</c:v>
                </c:pt>
                <c:pt idx="4">
                  <c:v>132</c:v>
                </c:pt>
                <c:pt idx="5">
                  <c:v>53</c:v>
                </c:pt>
                <c:pt idx="6">
                  <c:v>19</c:v>
                </c:pt>
                <c:pt idx="7">
                  <c:v>507</c:v>
                </c:pt>
                <c:pt idx="8">
                  <c:v>64</c:v>
                </c:pt>
                <c:pt idx="9">
                  <c:v>759</c:v>
                </c:pt>
              </c:numCache>
            </c:numRef>
          </c:val>
        </c:ser>
        <c:dLbls>
          <c:dLblPos val="outEnd"/>
          <c:showLegendKey val="0"/>
          <c:showVal val="1"/>
          <c:showCatName val="0"/>
          <c:showSerName val="0"/>
          <c:showPercent val="0"/>
          <c:showBubbleSize val="0"/>
        </c:dLbls>
        <c:gapWidth val="444"/>
        <c:overlap val="-90"/>
        <c:axId val="586605368"/>
        <c:axId val="586605760"/>
      </c:barChart>
      <c:catAx>
        <c:axId val="5866053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5760"/>
        <c:crosses val="autoZero"/>
        <c:auto val="1"/>
        <c:lblAlgn val="ctr"/>
        <c:lblOffset val="100"/>
        <c:noMultiLvlLbl val="0"/>
      </c:catAx>
      <c:valAx>
        <c:axId val="586605760"/>
        <c:scaling>
          <c:orientation val="minMax"/>
        </c:scaling>
        <c:delete val="1"/>
        <c:axPos val="l"/>
        <c:numFmt formatCode="General" sourceLinked="1"/>
        <c:majorTickMark val="none"/>
        <c:minorTickMark val="none"/>
        <c:tickLblPos val="nextTo"/>
        <c:crossAx val="586605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Sheet1!$B$2:$B$8</c:f>
              <c:numCache>
                <c:formatCode>General</c:formatCode>
                <c:ptCount val="7"/>
                <c:pt idx="0">
                  <c:v>23</c:v>
                </c:pt>
                <c:pt idx="1">
                  <c:v>13</c:v>
                </c:pt>
                <c:pt idx="2">
                  <c:v>2031</c:v>
                </c:pt>
                <c:pt idx="3">
                  <c:v>26</c:v>
                </c:pt>
                <c:pt idx="4">
                  <c:v>5</c:v>
                </c:pt>
                <c:pt idx="5">
                  <c:v>132</c:v>
                </c:pt>
                <c:pt idx="6">
                  <c:v>10593</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Sheet1!$C$2:$C$8</c:f>
              <c:numCache>
                <c:formatCode>General</c:formatCode>
                <c:ptCount val="7"/>
                <c:pt idx="0">
                  <c:v>16</c:v>
                </c:pt>
                <c:pt idx="1">
                  <c:v>12</c:v>
                </c:pt>
                <c:pt idx="2">
                  <c:v>1347</c:v>
                </c:pt>
                <c:pt idx="3">
                  <c:v>18</c:v>
                </c:pt>
                <c:pt idx="4">
                  <c:v>2</c:v>
                </c:pt>
                <c:pt idx="5">
                  <c:v>89</c:v>
                </c:pt>
                <c:pt idx="6">
                  <c:v>570</c:v>
                </c:pt>
              </c:numCache>
            </c:numRef>
          </c:val>
        </c:ser>
        <c:dLbls>
          <c:dLblPos val="outEnd"/>
          <c:showLegendKey val="0"/>
          <c:showVal val="1"/>
          <c:showCatName val="0"/>
          <c:showSerName val="0"/>
          <c:showPercent val="0"/>
          <c:showBubbleSize val="0"/>
        </c:dLbls>
        <c:gapWidth val="444"/>
        <c:overlap val="-90"/>
        <c:axId val="586606544"/>
        <c:axId val="586606936"/>
      </c:barChart>
      <c:catAx>
        <c:axId val="586606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6936"/>
        <c:crosses val="autoZero"/>
        <c:auto val="1"/>
        <c:lblAlgn val="ctr"/>
        <c:lblOffset val="100"/>
        <c:noMultiLvlLbl val="0"/>
      </c:catAx>
      <c:valAx>
        <c:axId val="586606936"/>
        <c:scaling>
          <c:orientation val="minMax"/>
        </c:scaling>
        <c:delete val="1"/>
        <c:axPos val="l"/>
        <c:numFmt formatCode="General" sourceLinked="1"/>
        <c:majorTickMark val="none"/>
        <c:minorTickMark val="none"/>
        <c:tickLblPos val="nextTo"/>
        <c:crossAx val="586606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Hearing</c:v>
                </c:pt>
                <c:pt idx="1">
                  <c:v>No Need</c:v>
                </c:pt>
                <c:pt idx="2">
                  <c:v>Lack of Privacy</c:v>
                </c:pt>
                <c:pt idx="3">
                  <c:v>Speech Impairment</c:v>
                </c:pt>
                <c:pt idx="4">
                  <c:v>Language </c:v>
                </c:pt>
                <c:pt idx="5">
                  <c:v>Vulnerable </c:v>
                </c:pt>
                <c:pt idx="6">
                  <c:v>Other</c:v>
                </c:pt>
                <c:pt idx="7">
                  <c:v>Unknown</c:v>
                </c:pt>
              </c:strCache>
            </c:strRef>
          </c:cat>
          <c:val>
            <c:numRef>
              <c:f>Sheet1!$B$2:$B$9</c:f>
              <c:numCache>
                <c:formatCode>General</c:formatCode>
                <c:ptCount val="8"/>
                <c:pt idx="0">
                  <c:v>54</c:v>
                </c:pt>
                <c:pt idx="1">
                  <c:v>3773</c:v>
                </c:pt>
                <c:pt idx="2">
                  <c:v>3</c:v>
                </c:pt>
                <c:pt idx="3">
                  <c:v>17</c:v>
                </c:pt>
                <c:pt idx="4">
                  <c:v>111</c:v>
                </c:pt>
                <c:pt idx="5">
                  <c:v>89</c:v>
                </c:pt>
                <c:pt idx="6">
                  <c:v>134</c:v>
                </c:pt>
                <c:pt idx="7">
                  <c:v>8633</c:v>
                </c:pt>
              </c:numCache>
            </c:numRef>
          </c:val>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Hearing</c:v>
                </c:pt>
                <c:pt idx="1">
                  <c:v>No Need</c:v>
                </c:pt>
                <c:pt idx="2">
                  <c:v>Lack of Privacy</c:v>
                </c:pt>
                <c:pt idx="3">
                  <c:v>Speech Impairment</c:v>
                </c:pt>
                <c:pt idx="4">
                  <c:v>Language </c:v>
                </c:pt>
                <c:pt idx="5">
                  <c:v>Vulnerable </c:v>
                </c:pt>
                <c:pt idx="6">
                  <c:v>Other</c:v>
                </c:pt>
                <c:pt idx="7">
                  <c:v>Unknown</c:v>
                </c:pt>
              </c:strCache>
            </c:strRef>
          </c:cat>
          <c:val>
            <c:numRef>
              <c:f>Sheet1!$C$2:$C$9</c:f>
              <c:numCache>
                <c:formatCode>General</c:formatCode>
                <c:ptCount val="8"/>
                <c:pt idx="0">
                  <c:v>30</c:v>
                </c:pt>
                <c:pt idx="1">
                  <c:v>1302</c:v>
                </c:pt>
                <c:pt idx="2">
                  <c:v>1</c:v>
                </c:pt>
                <c:pt idx="3">
                  <c:v>12</c:v>
                </c:pt>
                <c:pt idx="4">
                  <c:v>62</c:v>
                </c:pt>
                <c:pt idx="5">
                  <c:v>42</c:v>
                </c:pt>
                <c:pt idx="6">
                  <c:v>31</c:v>
                </c:pt>
                <c:pt idx="7">
                  <c:v>574</c:v>
                </c:pt>
              </c:numCache>
            </c:numRef>
          </c:val>
        </c:ser>
        <c:dLbls>
          <c:dLblPos val="outEnd"/>
          <c:showLegendKey val="0"/>
          <c:showVal val="1"/>
          <c:showCatName val="0"/>
          <c:showSerName val="0"/>
          <c:showPercent val="0"/>
          <c:showBubbleSize val="0"/>
        </c:dLbls>
        <c:gapWidth val="444"/>
        <c:overlap val="-90"/>
        <c:axId val="586607720"/>
        <c:axId val="586608112"/>
      </c:barChart>
      <c:catAx>
        <c:axId val="586607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8112"/>
        <c:crosses val="autoZero"/>
        <c:auto val="1"/>
        <c:lblAlgn val="ctr"/>
        <c:lblOffset val="100"/>
        <c:noMultiLvlLbl val="0"/>
      </c:catAx>
      <c:valAx>
        <c:axId val="586608112"/>
        <c:scaling>
          <c:orientation val="minMax"/>
        </c:scaling>
        <c:delete val="1"/>
        <c:axPos val="l"/>
        <c:numFmt formatCode="General" sourceLinked="1"/>
        <c:majorTickMark val="none"/>
        <c:minorTickMark val="none"/>
        <c:tickLblPos val="nextTo"/>
        <c:crossAx val="586607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Geographic</a:t>
            </a:r>
            <a:r>
              <a:rPr lang="en-GB" baseline="0"/>
              <a:t> Areas </a:t>
            </a:r>
            <a:endParaRPr lang="en-GB"/>
          </a:p>
        </c:rich>
      </c:tx>
      <c:overlay val="0"/>
      <c:spPr>
        <a:noFill/>
        <a:ln>
          <a:noFill/>
        </a:ln>
        <a:effectLst/>
      </c:spPr>
    </c:title>
    <c:autoTitleDeleted val="0"/>
    <c:plotArea>
      <c:layout/>
      <c:barChart>
        <c:barDir val="bar"/>
        <c:grouping val="clustered"/>
        <c:varyColors val="0"/>
        <c:ser>
          <c:idx val="0"/>
          <c:order val="0"/>
          <c:tx>
            <c:strRef>
              <c:f>Sheet1!$B$1</c:f>
              <c:strCache>
                <c:ptCount val="1"/>
                <c:pt idx="0">
                  <c:v>Closed Cases </c:v>
                </c:pt>
              </c:strCache>
            </c:strRef>
          </c:tx>
          <c:spPr>
            <a:solidFill>
              <a:srgbClr val="0070C0"/>
            </a:solidFill>
            <a:ln>
              <a:noFill/>
            </a:ln>
            <a:effectLst/>
          </c:spPr>
          <c:invertIfNegative val="0"/>
          <c:cat>
            <c:strRef>
              <c:f>Sheet1!$A$2:$A$57</c:f>
              <c:strCache>
                <c:ptCount val="56"/>
                <c:pt idx="0">
                  <c:v>Abbey (City)</c:v>
                </c:pt>
                <c:pt idx="1">
                  <c:v>Aylestone (City) </c:v>
                </c:pt>
                <c:pt idx="2">
                  <c:v>Aylestone Park (City)</c:v>
                </c:pt>
                <c:pt idx="3">
                  <c:v>Beaumont Leys (City)</c:v>
                </c:pt>
                <c:pt idx="4">
                  <c:v>Belgrave (City)</c:v>
                </c:pt>
                <c:pt idx="5">
                  <c:v>Blaby (County) </c:v>
                </c:pt>
                <c:pt idx="6">
                  <c:v>Braunstone (City)</c:v>
                </c:pt>
                <c:pt idx="7">
                  <c:v>Braunstone East (City)</c:v>
                </c:pt>
                <c:pt idx="8">
                  <c:v>Braunstone Town (County)</c:v>
                </c:pt>
                <c:pt idx="9">
                  <c:v>Castle (City)</c:v>
                </c:pt>
                <c:pt idx="10">
                  <c:v>Castle Hill (City)</c:v>
                </c:pt>
                <c:pt idx="11">
                  <c:v>Charnwood (County)</c:v>
                </c:pt>
                <c:pt idx="12">
                  <c:v>City Centre and St Andrews (City)</c:v>
                </c:pt>
                <c:pt idx="13">
                  <c:v>Clarendon (City)</c:v>
                </c:pt>
                <c:pt idx="14">
                  <c:v>Coleman (City)</c:v>
                </c:pt>
                <c:pt idx="15">
                  <c:v>Cottesmore (Rutland)</c:v>
                </c:pt>
                <c:pt idx="16">
                  <c:v>Crown Hills (City)</c:v>
                </c:pt>
                <c:pt idx="17">
                  <c:v>Evington (City)</c:v>
                </c:pt>
                <c:pt idx="18">
                  <c:v>Eyres Monsell (City)</c:v>
                </c:pt>
                <c:pt idx="19">
                  <c:v>Fosse (City)</c:v>
                </c:pt>
                <c:pt idx="20">
                  <c:v>Freeman (City)</c:v>
                </c:pt>
                <c:pt idx="21">
                  <c:v>Greetham (Rutland)</c:v>
                </c:pt>
                <c:pt idx="22">
                  <c:v>Hamilton (City)</c:v>
                </c:pt>
                <c:pt idx="23">
                  <c:v>Harborough (County)</c:v>
                </c:pt>
                <c:pt idx="24">
                  <c:v>Hinckley and Bosworth (County)</c:v>
                </c:pt>
                <c:pt idx="25">
                  <c:v>Humberstone (City)</c:v>
                </c:pt>
                <c:pt idx="26">
                  <c:v>Ketton (County)</c:v>
                </c:pt>
                <c:pt idx="27">
                  <c:v>Knighton (City)</c:v>
                </c:pt>
                <c:pt idx="28">
                  <c:v>Latimer (City)</c:v>
                </c:pt>
                <c:pt idx="29">
                  <c:v>Langham (City)</c:v>
                </c:pt>
                <c:pt idx="30">
                  <c:v>Market Bosworth (County)</c:v>
                </c:pt>
                <c:pt idx="31">
                  <c:v>Martinsthorpe (Rutland)</c:v>
                </c:pt>
                <c:pt idx="32">
                  <c:v>Melton (County)</c:v>
                </c:pt>
                <c:pt idx="33">
                  <c:v>New Parks (City)</c:v>
                </c:pt>
                <c:pt idx="34">
                  <c:v>New Parks West (City)</c:v>
                </c:pt>
                <c:pt idx="35">
                  <c:v>Northfields (City)</c:v>
                </c:pt>
                <c:pt idx="36">
                  <c:v>North West Leicester (County)</c:v>
                </c:pt>
                <c:pt idx="37">
                  <c:v>Oadby and Wigston (County) </c:v>
                </c:pt>
                <c:pt idx="38">
                  <c:v>Oakham (Rutland)</c:v>
                </c:pt>
                <c:pt idx="39">
                  <c:v>Ryhall and Casterton (City)</c:v>
                </c:pt>
                <c:pt idx="40">
                  <c:v>Rowley Fields  (City)</c:v>
                </c:pt>
                <c:pt idx="41">
                  <c:v>Rushey Fields (City)</c:v>
                </c:pt>
                <c:pt idx="42">
                  <c:v>Rushey Mead (City)</c:v>
                </c:pt>
                <c:pt idx="43">
                  <c:v>Rutland</c:v>
                </c:pt>
                <c:pt idx="44">
                  <c:v>Saffron (City)</c:v>
                </c:pt>
                <c:pt idx="45">
                  <c:v>Spinney Hill (City)</c:v>
                </c:pt>
                <c:pt idx="46">
                  <c:v>South Knighton (City)</c:v>
                </c:pt>
                <c:pt idx="47">
                  <c:v>Stoneygate (City)</c:v>
                </c:pt>
                <c:pt idx="48">
                  <c:v>Thurncote (City)</c:v>
                </c:pt>
                <c:pt idx="49">
                  <c:v>Uppingham (Rutland)</c:v>
                </c:pt>
                <c:pt idx="50">
                  <c:v>West End (City)</c:v>
                </c:pt>
                <c:pt idx="51">
                  <c:v>Westcotes (City)</c:v>
                </c:pt>
                <c:pt idx="52">
                  <c:v>Western Park (City) </c:v>
                </c:pt>
                <c:pt idx="53">
                  <c:v>Wycliffe (City) </c:v>
                </c:pt>
                <c:pt idx="54">
                  <c:v>Other than Leicester</c:v>
                </c:pt>
                <c:pt idx="55">
                  <c:v>Unknown </c:v>
                </c:pt>
              </c:strCache>
            </c:strRef>
          </c:cat>
          <c:val>
            <c:numRef>
              <c:f>Sheet1!$B$2:$B$57</c:f>
              <c:numCache>
                <c:formatCode>General</c:formatCode>
                <c:ptCount val="56"/>
                <c:pt idx="0">
                  <c:v>379</c:v>
                </c:pt>
                <c:pt idx="1">
                  <c:v>177</c:v>
                </c:pt>
                <c:pt idx="2">
                  <c:v>1</c:v>
                </c:pt>
                <c:pt idx="3">
                  <c:v>287</c:v>
                </c:pt>
                <c:pt idx="4">
                  <c:v>250</c:v>
                </c:pt>
                <c:pt idx="5">
                  <c:v>617</c:v>
                </c:pt>
                <c:pt idx="6">
                  <c:v>458</c:v>
                </c:pt>
                <c:pt idx="7">
                  <c:v>1</c:v>
                </c:pt>
                <c:pt idx="8">
                  <c:v>135</c:v>
                </c:pt>
                <c:pt idx="9">
                  <c:v>615</c:v>
                </c:pt>
                <c:pt idx="10">
                  <c:v>177</c:v>
                </c:pt>
                <c:pt idx="11" formatCode="#,##0">
                  <c:v>1422</c:v>
                </c:pt>
                <c:pt idx="12">
                  <c:v>501</c:v>
                </c:pt>
                <c:pt idx="13">
                  <c:v>14</c:v>
                </c:pt>
                <c:pt idx="14">
                  <c:v>143</c:v>
                </c:pt>
                <c:pt idx="15">
                  <c:v>1</c:v>
                </c:pt>
                <c:pt idx="16">
                  <c:v>1</c:v>
                </c:pt>
                <c:pt idx="17">
                  <c:v>285</c:v>
                </c:pt>
                <c:pt idx="18">
                  <c:v>238</c:v>
                </c:pt>
                <c:pt idx="19">
                  <c:v>252</c:v>
                </c:pt>
                <c:pt idx="20">
                  <c:v>157</c:v>
                </c:pt>
                <c:pt idx="21">
                  <c:v>2</c:v>
                </c:pt>
                <c:pt idx="22">
                  <c:v>41</c:v>
                </c:pt>
                <c:pt idx="23">
                  <c:v>615</c:v>
                </c:pt>
                <c:pt idx="24">
                  <c:v>809</c:v>
                </c:pt>
                <c:pt idx="25">
                  <c:v>217</c:v>
                </c:pt>
                <c:pt idx="26">
                  <c:v>1</c:v>
                </c:pt>
                <c:pt idx="27">
                  <c:v>161</c:v>
                </c:pt>
                <c:pt idx="28">
                  <c:v>98</c:v>
                </c:pt>
                <c:pt idx="29">
                  <c:v>1</c:v>
                </c:pt>
                <c:pt idx="30">
                  <c:v>32</c:v>
                </c:pt>
                <c:pt idx="31">
                  <c:v>3</c:v>
                </c:pt>
                <c:pt idx="32">
                  <c:v>457</c:v>
                </c:pt>
                <c:pt idx="33">
                  <c:v>351</c:v>
                </c:pt>
                <c:pt idx="34">
                  <c:v>6</c:v>
                </c:pt>
                <c:pt idx="35">
                  <c:v>11</c:v>
                </c:pt>
                <c:pt idx="36">
                  <c:v>654</c:v>
                </c:pt>
                <c:pt idx="37">
                  <c:v>497</c:v>
                </c:pt>
                <c:pt idx="38">
                  <c:v>24</c:v>
                </c:pt>
                <c:pt idx="39">
                  <c:v>2</c:v>
                </c:pt>
                <c:pt idx="40">
                  <c:v>70</c:v>
                </c:pt>
                <c:pt idx="41">
                  <c:v>1</c:v>
                </c:pt>
                <c:pt idx="42">
                  <c:v>280</c:v>
                </c:pt>
                <c:pt idx="43">
                  <c:v>122</c:v>
                </c:pt>
                <c:pt idx="44">
                  <c:v>89</c:v>
                </c:pt>
                <c:pt idx="45">
                  <c:v>198</c:v>
                </c:pt>
                <c:pt idx="46">
                  <c:v>2</c:v>
                </c:pt>
                <c:pt idx="47">
                  <c:v>177</c:v>
                </c:pt>
                <c:pt idx="48">
                  <c:v>149</c:v>
                </c:pt>
                <c:pt idx="49">
                  <c:v>4</c:v>
                </c:pt>
                <c:pt idx="50">
                  <c:v>3</c:v>
                </c:pt>
                <c:pt idx="51">
                  <c:v>183</c:v>
                </c:pt>
                <c:pt idx="52">
                  <c:v>233</c:v>
                </c:pt>
                <c:pt idx="53">
                  <c:v>48</c:v>
                </c:pt>
                <c:pt idx="54">
                  <c:v>398</c:v>
                </c:pt>
                <c:pt idx="55">
                  <c:v>570</c:v>
                </c:pt>
              </c:numCache>
            </c:numRef>
          </c:val>
        </c:ser>
        <c:ser>
          <c:idx val="1"/>
          <c:order val="1"/>
          <c:tx>
            <c:strRef>
              <c:f>Sheet1!$C$1</c:f>
              <c:strCache>
                <c:ptCount val="1"/>
                <c:pt idx="0">
                  <c:v>Closed and received enhanced support </c:v>
                </c:pt>
              </c:strCache>
            </c:strRef>
          </c:tx>
          <c:spPr>
            <a:solidFill>
              <a:schemeClr val="accent6"/>
            </a:solidFill>
            <a:ln>
              <a:noFill/>
            </a:ln>
            <a:effectLst/>
          </c:spPr>
          <c:invertIfNegative val="0"/>
          <c:cat>
            <c:strRef>
              <c:f>Sheet1!$A$2:$A$57</c:f>
              <c:strCache>
                <c:ptCount val="56"/>
                <c:pt idx="0">
                  <c:v>Abbey (City)</c:v>
                </c:pt>
                <c:pt idx="1">
                  <c:v>Aylestone (City) </c:v>
                </c:pt>
                <c:pt idx="2">
                  <c:v>Aylestone Park (City)</c:v>
                </c:pt>
                <c:pt idx="3">
                  <c:v>Beaumont Leys (City)</c:v>
                </c:pt>
                <c:pt idx="4">
                  <c:v>Belgrave (City)</c:v>
                </c:pt>
                <c:pt idx="5">
                  <c:v>Blaby (County) </c:v>
                </c:pt>
                <c:pt idx="6">
                  <c:v>Braunstone (City)</c:v>
                </c:pt>
                <c:pt idx="7">
                  <c:v>Braunstone East (City)</c:v>
                </c:pt>
                <c:pt idx="8">
                  <c:v>Braunstone Town (County)</c:v>
                </c:pt>
                <c:pt idx="9">
                  <c:v>Castle (City)</c:v>
                </c:pt>
                <c:pt idx="10">
                  <c:v>Castle Hill (City)</c:v>
                </c:pt>
                <c:pt idx="11">
                  <c:v>Charnwood (County)</c:v>
                </c:pt>
                <c:pt idx="12">
                  <c:v>City Centre and St Andrews (City)</c:v>
                </c:pt>
                <c:pt idx="13">
                  <c:v>Clarendon (City)</c:v>
                </c:pt>
                <c:pt idx="14">
                  <c:v>Coleman (City)</c:v>
                </c:pt>
                <c:pt idx="15">
                  <c:v>Cottesmore (Rutland)</c:v>
                </c:pt>
                <c:pt idx="16">
                  <c:v>Crown Hills (City)</c:v>
                </c:pt>
                <c:pt idx="17">
                  <c:v>Evington (City)</c:v>
                </c:pt>
                <c:pt idx="18">
                  <c:v>Eyres Monsell (City)</c:v>
                </c:pt>
                <c:pt idx="19">
                  <c:v>Fosse (City)</c:v>
                </c:pt>
                <c:pt idx="20">
                  <c:v>Freeman (City)</c:v>
                </c:pt>
                <c:pt idx="21">
                  <c:v>Greetham (Rutland)</c:v>
                </c:pt>
                <c:pt idx="22">
                  <c:v>Hamilton (City)</c:v>
                </c:pt>
                <c:pt idx="23">
                  <c:v>Harborough (County)</c:v>
                </c:pt>
                <c:pt idx="24">
                  <c:v>Hinckley and Bosworth (County)</c:v>
                </c:pt>
                <c:pt idx="25">
                  <c:v>Humberstone (City)</c:v>
                </c:pt>
                <c:pt idx="26">
                  <c:v>Ketton (County)</c:v>
                </c:pt>
                <c:pt idx="27">
                  <c:v>Knighton (City)</c:v>
                </c:pt>
                <c:pt idx="28">
                  <c:v>Latimer (City)</c:v>
                </c:pt>
                <c:pt idx="29">
                  <c:v>Langham (City)</c:v>
                </c:pt>
                <c:pt idx="30">
                  <c:v>Market Bosworth (County)</c:v>
                </c:pt>
                <c:pt idx="31">
                  <c:v>Martinsthorpe (Rutland)</c:v>
                </c:pt>
                <c:pt idx="32">
                  <c:v>Melton (County)</c:v>
                </c:pt>
                <c:pt idx="33">
                  <c:v>New Parks (City)</c:v>
                </c:pt>
                <c:pt idx="34">
                  <c:v>New Parks West (City)</c:v>
                </c:pt>
                <c:pt idx="35">
                  <c:v>Northfields (City)</c:v>
                </c:pt>
                <c:pt idx="36">
                  <c:v>North West Leicester (County)</c:v>
                </c:pt>
                <c:pt idx="37">
                  <c:v>Oadby and Wigston (County) </c:v>
                </c:pt>
                <c:pt idx="38">
                  <c:v>Oakham (Rutland)</c:v>
                </c:pt>
                <c:pt idx="39">
                  <c:v>Ryhall and Casterton (City)</c:v>
                </c:pt>
                <c:pt idx="40">
                  <c:v>Rowley Fields  (City)</c:v>
                </c:pt>
                <c:pt idx="41">
                  <c:v>Rushey Fields (City)</c:v>
                </c:pt>
                <c:pt idx="42">
                  <c:v>Rushey Mead (City)</c:v>
                </c:pt>
                <c:pt idx="43">
                  <c:v>Rutland</c:v>
                </c:pt>
                <c:pt idx="44">
                  <c:v>Saffron (City)</c:v>
                </c:pt>
                <c:pt idx="45">
                  <c:v>Spinney Hill (City)</c:v>
                </c:pt>
                <c:pt idx="46">
                  <c:v>South Knighton (City)</c:v>
                </c:pt>
                <c:pt idx="47">
                  <c:v>Stoneygate (City)</c:v>
                </c:pt>
                <c:pt idx="48">
                  <c:v>Thurncote (City)</c:v>
                </c:pt>
                <c:pt idx="49">
                  <c:v>Uppingham (Rutland)</c:v>
                </c:pt>
                <c:pt idx="50">
                  <c:v>West End (City)</c:v>
                </c:pt>
                <c:pt idx="51">
                  <c:v>Westcotes (City)</c:v>
                </c:pt>
                <c:pt idx="52">
                  <c:v>Western Park (City) </c:v>
                </c:pt>
                <c:pt idx="53">
                  <c:v>Wycliffe (City) </c:v>
                </c:pt>
                <c:pt idx="54">
                  <c:v>Other than Leicester</c:v>
                </c:pt>
                <c:pt idx="55">
                  <c:v>Unknown </c:v>
                </c:pt>
              </c:strCache>
            </c:strRef>
          </c:cat>
          <c:val>
            <c:numRef>
              <c:f>Sheet1!$C$2:$C$57</c:f>
              <c:numCache>
                <c:formatCode>General</c:formatCode>
                <c:ptCount val="56"/>
                <c:pt idx="0">
                  <c:v>64</c:v>
                </c:pt>
                <c:pt idx="1">
                  <c:v>29</c:v>
                </c:pt>
                <c:pt idx="2">
                  <c:v>0</c:v>
                </c:pt>
                <c:pt idx="3">
                  <c:v>42</c:v>
                </c:pt>
                <c:pt idx="4">
                  <c:v>37</c:v>
                </c:pt>
                <c:pt idx="5">
                  <c:v>95</c:v>
                </c:pt>
                <c:pt idx="6">
                  <c:v>93</c:v>
                </c:pt>
                <c:pt idx="7">
                  <c:v>0</c:v>
                </c:pt>
                <c:pt idx="8">
                  <c:v>28</c:v>
                </c:pt>
                <c:pt idx="9">
                  <c:v>86</c:v>
                </c:pt>
                <c:pt idx="10">
                  <c:v>25</c:v>
                </c:pt>
                <c:pt idx="11">
                  <c:v>237</c:v>
                </c:pt>
                <c:pt idx="12">
                  <c:v>67</c:v>
                </c:pt>
                <c:pt idx="13">
                  <c:v>1</c:v>
                </c:pt>
                <c:pt idx="14">
                  <c:v>21</c:v>
                </c:pt>
                <c:pt idx="15">
                  <c:v>0</c:v>
                </c:pt>
                <c:pt idx="16">
                  <c:v>0</c:v>
                </c:pt>
                <c:pt idx="17">
                  <c:v>76</c:v>
                </c:pt>
                <c:pt idx="18">
                  <c:v>51</c:v>
                </c:pt>
                <c:pt idx="19">
                  <c:v>41</c:v>
                </c:pt>
                <c:pt idx="20">
                  <c:v>22</c:v>
                </c:pt>
                <c:pt idx="21">
                  <c:v>0</c:v>
                </c:pt>
                <c:pt idx="22">
                  <c:v>10</c:v>
                </c:pt>
                <c:pt idx="23">
                  <c:v>103</c:v>
                </c:pt>
                <c:pt idx="24">
                  <c:v>129</c:v>
                </c:pt>
                <c:pt idx="25">
                  <c:v>34</c:v>
                </c:pt>
                <c:pt idx="26">
                  <c:v>1</c:v>
                </c:pt>
                <c:pt idx="27">
                  <c:v>22</c:v>
                </c:pt>
                <c:pt idx="28">
                  <c:v>20</c:v>
                </c:pt>
                <c:pt idx="29">
                  <c:v>0</c:v>
                </c:pt>
                <c:pt idx="30">
                  <c:v>9</c:v>
                </c:pt>
                <c:pt idx="31">
                  <c:v>0</c:v>
                </c:pt>
                <c:pt idx="32">
                  <c:v>31</c:v>
                </c:pt>
                <c:pt idx="33">
                  <c:v>46</c:v>
                </c:pt>
                <c:pt idx="34">
                  <c:v>0</c:v>
                </c:pt>
                <c:pt idx="35">
                  <c:v>1</c:v>
                </c:pt>
                <c:pt idx="36">
                  <c:v>111</c:v>
                </c:pt>
                <c:pt idx="37">
                  <c:v>76</c:v>
                </c:pt>
                <c:pt idx="38">
                  <c:v>6</c:v>
                </c:pt>
                <c:pt idx="39">
                  <c:v>0</c:v>
                </c:pt>
                <c:pt idx="40">
                  <c:v>19</c:v>
                </c:pt>
                <c:pt idx="41">
                  <c:v>0</c:v>
                </c:pt>
                <c:pt idx="42">
                  <c:v>44</c:v>
                </c:pt>
                <c:pt idx="43">
                  <c:v>19</c:v>
                </c:pt>
                <c:pt idx="44">
                  <c:v>15</c:v>
                </c:pt>
                <c:pt idx="45">
                  <c:v>31</c:v>
                </c:pt>
                <c:pt idx="46">
                  <c:v>0</c:v>
                </c:pt>
                <c:pt idx="47">
                  <c:v>18</c:v>
                </c:pt>
                <c:pt idx="48">
                  <c:v>36</c:v>
                </c:pt>
                <c:pt idx="49">
                  <c:v>3</c:v>
                </c:pt>
                <c:pt idx="50">
                  <c:v>1</c:v>
                </c:pt>
                <c:pt idx="51">
                  <c:v>95</c:v>
                </c:pt>
                <c:pt idx="52">
                  <c:v>48</c:v>
                </c:pt>
                <c:pt idx="53">
                  <c:v>17</c:v>
                </c:pt>
                <c:pt idx="54">
                  <c:v>10</c:v>
                </c:pt>
                <c:pt idx="55">
                  <c:v>53</c:v>
                </c:pt>
              </c:numCache>
            </c:numRef>
          </c:val>
        </c:ser>
        <c:dLbls>
          <c:showLegendKey val="0"/>
          <c:showVal val="0"/>
          <c:showCatName val="0"/>
          <c:showSerName val="0"/>
          <c:showPercent val="0"/>
          <c:showBubbleSize val="0"/>
        </c:dLbls>
        <c:gapWidth val="182"/>
        <c:axId val="586608896"/>
        <c:axId val="586609288"/>
      </c:barChart>
      <c:catAx>
        <c:axId val="586608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09288"/>
        <c:crosses val="autoZero"/>
        <c:auto val="1"/>
        <c:lblAlgn val="ctr"/>
        <c:lblOffset val="100"/>
        <c:noMultiLvlLbl val="0"/>
      </c:catAx>
      <c:valAx>
        <c:axId val="586609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0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574</c:v>
                </c:pt>
                <c:pt idx="1">
                  <c:v>126</c:v>
                </c:pt>
                <c:pt idx="2">
                  <c:v>1161</c:v>
                </c:pt>
              </c:numCache>
            </c:numRef>
          </c:val>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519</c:v>
                </c:pt>
                <c:pt idx="1">
                  <c:v>107</c:v>
                </c:pt>
                <c:pt idx="2">
                  <c:v>182</c:v>
                </c:pt>
              </c:numCache>
            </c:numRef>
          </c:val>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465</c:v>
                </c:pt>
                <c:pt idx="1">
                  <c:v>36</c:v>
                </c:pt>
                <c:pt idx="2">
                  <c:v>28</c:v>
                </c:pt>
              </c:numCache>
            </c:numRef>
          </c:val>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51</c:v>
                </c:pt>
                <c:pt idx="1">
                  <c:v>2</c:v>
                </c:pt>
                <c:pt idx="2">
                  <c:v>1</c:v>
                </c:pt>
              </c:numCache>
            </c:numRef>
          </c:val>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445</c:v>
                </c:pt>
                <c:pt idx="1">
                  <c:v>1783</c:v>
                </c:pt>
                <c:pt idx="2">
                  <c:v>682</c:v>
                </c:pt>
              </c:numCache>
            </c:numRef>
          </c:val>
        </c:ser>
        <c:dLbls>
          <c:dLblPos val="outEnd"/>
          <c:showLegendKey val="0"/>
          <c:showVal val="1"/>
          <c:showCatName val="0"/>
          <c:showSerName val="0"/>
          <c:showPercent val="0"/>
          <c:showBubbleSize val="0"/>
        </c:dLbls>
        <c:gapWidth val="444"/>
        <c:overlap val="-90"/>
        <c:axId val="586610072"/>
        <c:axId val="586610464"/>
      </c:barChart>
      <c:catAx>
        <c:axId val="586610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0464"/>
        <c:crosses val="autoZero"/>
        <c:auto val="1"/>
        <c:lblAlgn val="ctr"/>
        <c:lblOffset val="100"/>
        <c:noMultiLvlLbl val="0"/>
      </c:catAx>
      <c:valAx>
        <c:axId val="586610464"/>
        <c:scaling>
          <c:orientation val="minMax"/>
        </c:scaling>
        <c:delete val="1"/>
        <c:axPos val="l"/>
        <c:numFmt formatCode="General" sourceLinked="1"/>
        <c:majorTickMark val="none"/>
        <c:minorTickMark val="none"/>
        <c:tickLblPos val="nextTo"/>
        <c:crossAx val="586610072"/>
        <c:crosses val="autoZero"/>
        <c:crossBetween val="between"/>
      </c:valAx>
      <c:spPr>
        <a:noFill/>
        <a:ln>
          <a:noFill/>
        </a:ln>
        <a:effectLst/>
      </c:spPr>
    </c:plotArea>
    <c:legend>
      <c:legendPos val="t"/>
      <c:layout>
        <c:manualLayout>
          <c:xMode val="edge"/>
          <c:yMode val="edge"/>
          <c:x val="0.1414936512839173"/>
          <c:y val="0.10931708555470931"/>
          <c:w val="0.70841499997884472"/>
          <c:h val="8.5682244784139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519</c:v>
                </c:pt>
                <c:pt idx="1">
                  <c:v>104</c:v>
                </c:pt>
                <c:pt idx="2">
                  <c:v>1102</c:v>
                </c:pt>
              </c:numCache>
            </c:numRef>
          </c:val>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603</c:v>
                </c:pt>
                <c:pt idx="1">
                  <c:v>95</c:v>
                </c:pt>
                <c:pt idx="2">
                  <c:v>198</c:v>
                </c:pt>
              </c:numCache>
            </c:numRef>
          </c:val>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412</c:v>
                </c:pt>
                <c:pt idx="1">
                  <c:v>37</c:v>
                </c:pt>
                <c:pt idx="2">
                  <c:v>41</c:v>
                </c:pt>
              </c:numCache>
            </c:numRef>
          </c:val>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38</c:v>
                </c:pt>
                <c:pt idx="1">
                  <c:v>3</c:v>
                </c:pt>
                <c:pt idx="2">
                  <c:v>1</c:v>
                </c:pt>
              </c:numCache>
            </c:numRef>
          </c:val>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482</c:v>
                </c:pt>
                <c:pt idx="1">
                  <c:v>1815</c:v>
                </c:pt>
                <c:pt idx="2">
                  <c:v>712</c:v>
                </c:pt>
              </c:numCache>
            </c:numRef>
          </c:val>
        </c:ser>
        <c:dLbls>
          <c:dLblPos val="outEnd"/>
          <c:showLegendKey val="0"/>
          <c:showVal val="1"/>
          <c:showCatName val="0"/>
          <c:showSerName val="0"/>
          <c:showPercent val="0"/>
          <c:showBubbleSize val="0"/>
        </c:dLbls>
        <c:gapWidth val="444"/>
        <c:overlap val="-90"/>
        <c:axId val="586611248"/>
        <c:axId val="586611640"/>
      </c:barChart>
      <c:catAx>
        <c:axId val="586611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1640"/>
        <c:crosses val="autoZero"/>
        <c:auto val="1"/>
        <c:lblAlgn val="ctr"/>
        <c:lblOffset val="100"/>
        <c:noMultiLvlLbl val="0"/>
      </c:catAx>
      <c:valAx>
        <c:axId val="586611640"/>
        <c:scaling>
          <c:orientation val="minMax"/>
        </c:scaling>
        <c:delete val="1"/>
        <c:axPos val="l"/>
        <c:numFmt formatCode="General" sourceLinked="1"/>
        <c:majorTickMark val="none"/>
        <c:minorTickMark val="none"/>
        <c:tickLblPos val="nextTo"/>
        <c:crossAx val="586611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824</c:v>
                </c:pt>
                <c:pt idx="1">
                  <c:v>148</c:v>
                </c:pt>
                <c:pt idx="2">
                  <c:v>1170</c:v>
                </c:pt>
              </c:numCache>
            </c:numRef>
          </c:val>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395</c:v>
                </c:pt>
                <c:pt idx="1">
                  <c:v>71</c:v>
                </c:pt>
                <c:pt idx="2">
                  <c:v>134</c:v>
                </c:pt>
              </c:numCache>
            </c:numRef>
          </c:val>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307</c:v>
                </c:pt>
                <c:pt idx="1">
                  <c:v>24</c:v>
                </c:pt>
                <c:pt idx="2">
                  <c:v>31</c:v>
                </c:pt>
              </c:numCache>
            </c:numRef>
          </c:val>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40</c:v>
                </c:pt>
                <c:pt idx="1">
                  <c:v>3</c:v>
                </c:pt>
                <c:pt idx="2">
                  <c:v>2</c:v>
                </c:pt>
              </c:numCache>
            </c:numRef>
          </c:val>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488</c:v>
                </c:pt>
                <c:pt idx="1">
                  <c:v>1808</c:v>
                </c:pt>
                <c:pt idx="2">
                  <c:v>717</c:v>
                </c:pt>
              </c:numCache>
            </c:numRef>
          </c:val>
        </c:ser>
        <c:dLbls>
          <c:dLblPos val="outEnd"/>
          <c:showLegendKey val="0"/>
          <c:showVal val="1"/>
          <c:showCatName val="0"/>
          <c:showSerName val="0"/>
          <c:showPercent val="0"/>
          <c:showBubbleSize val="0"/>
        </c:dLbls>
        <c:gapWidth val="444"/>
        <c:overlap val="-90"/>
        <c:axId val="586612424"/>
        <c:axId val="586612816"/>
      </c:barChart>
      <c:catAx>
        <c:axId val="586612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2816"/>
        <c:crosses val="autoZero"/>
        <c:auto val="1"/>
        <c:lblAlgn val="ctr"/>
        <c:lblOffset val="100"/>
        <c:noMultiLvlLbl val="0"/>
      </c:catAx>
      <c:valAx>
        <c:axId val="586612816"/>
        <c:scaling>
          <c:orientation val="minMax"/>
        </c:scaling>
        <c:delete val="1"/>
        <c:axPos val="l"/>
        <c:numFmt formatCode="General" sourceLinked="1"/>
        <c:majorTickMark val="none"/>
        <c:minorTickMark val="none"/>
        <c:tickLblPos val="nextTo"/>
        <c:crossAx val="586612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dLbl>
              <c:idx val="0"/>
              <c:layout>
                <c:manualLayout>
                  <c:x val="8.2740071012056923E-2"/>
                  <c:y val="0.15419837737114669"/>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0.18243224401342409"/>
                  <c:y val="0.13996678545409594"/>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0.17598826744883675"/>
                  <c:y val="0.18997625296837894"/>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3"/>
              <c:layout>
                <c:manualLayout>
                  <c:x val="-0.20798613425771614"/>
                  <c:y val="0.14248218972628421"/>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4"/>
              <c:layout>
                <c:manualLayout>
                  <c:x val="-0.21607217937840131"/>
                  <c:y val="0.1916463086561484"/>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1731"/>
                        <a:gd name="adj2" fmla="val -341756"/>
                      </a:avLst>
                    </a:prstGeom>
                  </c15:spPr>
                </c:ext>
              </c:extLst>
            </c:dLbl>
            <c:dLbl>
              <c:idx val="5"/>
              <c:layout>
                <c:manualLayout>
                  <c:x val="-0.23731751216585562"/>
                  <c:y val="7.749031371078613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6"/>
              <c:layout>
                <c:manualLayout>
                  <c:x val="-0.21598560095993599"/>
                  <c:y val="4.999375078115236E-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7"/>
              <c:layout>
                <c:manualLayout>
                  <c:x val="-6.9351758277984635E-2"/>
                  <c:y val="-3.4921680343939762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8"/>
              <c:layout>
                <c:manualLayout>
                  <c:x val="5.877236690643594E-2"/>
                  <c:y val="-4.5290333432294709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9"/>
              <c:layout>
                <c:manualLayout>
                  <c:x val="0.21834532179702648"/>
                  <c:y val="-1.7261633957060218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0"/>
              <c:layout>
                <c:manualLayout>
                  <c:x val="0.27650300747409995"/>
                  <c:y val="2.9552434500570969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1"/>
              <c:layout>
                <c:manualLayout>
                  <c:x val="0.34039580845119127"/>
                  <c:y val="8.1527828581329509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2"/>
              <c:layout>
                <c:manualLayout>
                  <c:x val="0.3626424905006333"/>
                  <c:y val="0.1724784401949756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3"/>
              <c:layout>
                <c:manualLayout>
                  <c:x val="0.2906472901806546"/>
                  <c:y val="0.23997000374953131"/>
                </c:manualLayout>
              </c:layout>
              <c:dLblPos val="bestFit"/>
              <c:showLegendKey val="0"/>
              <c:showVal val="0"/>
              <c:showCatName val="1"/>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Sheet1!$A$2:$A$13</c:f>
              <c:strCache>
                <c:ptCount val="12"/>
                <c:pt idx="0">
                  <c:v>Action Fraud 448 (3.5%)</c:v>
                </c:pt>
                <c:pt idx="1">
                  <c:v>RTC 134 (1.1%) </c:v>
                </c:pt>
                <c:pt idx="2">
                  <c:v>Leicestershire Crime Report 11,580 (90.4%)</c:v>
                </c:pt>
                <c:pt idx="3">
                  <c:v>Leicester City Council 15 (0.1%)</c:v>
                </c:pt>
                <c:pt idx="4">
                  <c:v>Leicestershire County Council 17 (0.1%)</c:v>
                </c:pt>
                <c:pt idx="5">
                  <c:v>Witness Care Unit 31 (0.2%)</c:v>
                </c:pt>
                <c:pt idx="6">
                  <c:v>Sentinel ASB 103 (0.8%)</c:v>
                </c:pt>
                <c:pt idx="7">
                  <c:v>Self Referrals 163 (1.3%)</c:v>
                </c:pt>
                <c:pt idx="8">
                  <c:v>Police Contact 113 (0.9%)</c:v>
                </c:pt>
                <c:pt idx="9">
                  <c:v>Other Victim Support Services 97 (0.8%)</c:v>
                </c:pt>
                <c:pt idx="10">
                  <c:v>Other 108 (0.8%)</c:v>
                </c:pt>
                <c:pt idx="11">
                  <c:v>Unknown 5 (0.1%)</c:v>
                </c:pt>
              </c:strCache>
            </c:strRef>
          </c:cat>
          <c:val>
            <c:numRef>
              <c:f>Sheet1!$B$2:$B$13</c:f>
              <c:numCache>
                <c:formatCode>General</c:formatCode>
                <c:ptCount val="12"/>
                <c:pt idx="0">
                  <c:v>448</c:v>
                </c:pt>
                <c:pt idx="1">
                  <c:v>134</c:v>
                </c:pt>
                <c:pt idx="2">
                  <c:v>11580</c:v>
                </c:pt>
                <c:pt idx="3">
                  <c:v>15</c:v>
                </c:pt>
                <c:pt idx="4">
                  <c:v>17</c:v>
                </c:pt>
                <c:pt idx="5">
                  <c:v>31</c:v>
                </c:pt>
                <c:pt idx="6">
                  <c:v>103</c:v>
                </c:pt>
                <c:pt idx="7">
                  <c:v>163</c:v>
                </c:pt>
                <c:pt idx="8">
                  <c:v>113</c:v>
                </c:pt>
                <c:pt idx="9">
                  <c:v>97</c:v>
                </c:pt>
                <c:pt idx="10">
                  <c:v>108</c:v>
                </c:pt>
                <c:pt idx="11">
                  <c:v>5</c:v>
                </c:pt>
              </c:numCache>
            </c:numRef>
          </c:val>
        </c:ser>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1355</c:v>
                </c:pt>
                <c:pt idx="1">
                  <c:v>205</c:v>
                </c:pt>
                <c:pt idx="2">
                  <c:v>1279</c:v>
                </c:pt>
              </c:numCache>
            </c:numRef>
          </c:val>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75</c:v>
                </c:pt>
                <c:pt idx="1">
                  <c:v>15</c:v>
                </c:pt>
                <c:pt idx="2">
                  <c:v>28</c:v>
                </c:pt>
              </c:numCache>
            </c:numRef>
          </c:val>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45</c:v>
                </c:pt>
                <c:pt idx="1">
                  <c:v>7</c:v>
                </c:pt>
                <c:pt idx="2">
                  <c:v>9</c:v>
                </c:pt>
              </c:numCache>
            </c:numRef>
          </c:val>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8</c:v>
                </c:pt>
                <c:pt idx="1">
                  <c:v>2</c:v>
                </c:pt>
                <c:pt idx="2">
                  <c:v>1</c:v>
                </c:pt>
              </c:numCache>
            </c:numRef>
          </c:val>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571</c:v>
                </c:pt>
                <c:pt idx="1">
                  <c:v>1825</c:v>
                </c:pt>
                <c:pt idx="2">
                  <c:v>737</c:v>
                </c:pt>
              </c:numCache>
            </c:numRef>
          </c:val>
        </c:ser>
        <c:dLbls>
          <c:dLblPos val="outEnd"/>
          <c:showLegendKey val="0"/>
          <c:showVal val="1"/>
          <c:showCatName val="0"/>
          <c:showSerName val="0"/>
          <c:showPercent val="0"/>
          <c:showBubbleSize val="0"/>
        </c:dLbls>
        <c:gapWidth val="444"/>
        <c:overlap val="-90"/>
        <c:axId val="586613600"/>
        <c:axId val="586613992"/>
      </c:barChart>
      <c:catAx>
        <c:axId val="58661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3992"/>
        <c:crosses val="autoZero"/>
        <c:auto val="1"/>
        <c:lblAlgn val="ctr"/>
        <c:lblOffset val="100"/>
        <c:noMultiLvlLbl val="0"/>
      </c:catAx>
      <c:valAx>
        <c:axId val="586613992"/>
        <c:scaling>
          <c:orientation val="minMax"/>
        </c:scaling>
        <c:delete val="1"/>
        <c:axPos val="l"/>
        <c:numFmt formatCode="General" sourceLinked="1"/>
        <c:majorTickMark val="none"/>
        <c:minorTickMark val="none"/>
        <c:tickLblPos val="nextTo"/>
        <c:crossAx val="586613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Sheet1!$B$2:$B$4</c:f>
              <c:numCache>
                <c:formatCode>General</c:formatCode>
                <c:ptCount val="3"/>
                <c:pt idx="0">
                  <c:v>1276</c:v>
                </c:pt>
                <c:pt idx="1">
                  <c:v>189</c:v>
                </c:pt>
                <c:pt idx="2">
                  <c:v>1239</c:v>
                </c:pt>
              </c:numCache>
            </c:numRef>
          </c:val>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Sheet1!$C$2:$C$4</c:f>
              <c:numCache>
                <c:formatCode>General</c:formatCode>
                <c:ptCount val="3"/>
                <c:pt idx="0">
                  <c:v>196</c:v>
                </c:pt>
                <c:pt idx="1">
                  <c:v>35</c:v>
                </c:pt>
                <c:pt idx="2">
                  <c:v>60</c:v>
                </c:pt>
              </c:numCache>
            </c:numRef>
          </c:val>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Sheet1!$D$2:$D$4</c:f>
              <c:numCache>
                <c:formatCode>General</c:formatCode>
                <c:ptCount val="3"/>
                <c:pt idx="0">
                  <c:v>77</c:v>
                </c:pt>
                <c:pt idx="1">
                  <c:v>8</c:v>
                </c:pt>
                <c:pt idx="2">
                  <c:v>12</c:v>
                </c:pt>
              </c:numCache>
            </c:numRef>
          </c:val>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Sheet1!$E$2:$E$4</c:f>
              <c:numCache>
                <c:formatCode>General</c:formatCode>
                <c:ptCount val="3"/>
                <c:pt idx="0">
                  <c:v>5</c:v>
                </c:pt>
                <c:pt idx="1">
                  <c:v>0</c:v>
                </c:pt>
                <c:pt idx="2">
                  <c:v>0</c:v>
                </c:pt>
              </c:numCache>
            </c:numRef>
          </c:val>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Sheet1!$F$2:$F$4</c:f>
              <c:numCache>
                <c:formatCode>General</c:formatCode>
                <c:ptCount val="3"/>
                <c:pt idx="0">
                  <c:v>500</c:v>
                </c:pt>
                <c:pt idx="1">
                  <c:v>1822</c:v>
                </c:pt>
                <c:pt idx="2">
                  <c:v>743</c:v>
                </c:pt>
              </c:numCache>
            </c:numRef>
          </c:val>
        </c:ser>
        <c:dLbls>
          <c:dLblPos val="outEnd"/>
          <c:showLegendKey val="0"/>
          <c:showVal val="1"/>
          <c:showCatName val="0"/>
          <c:showSerName val="0"/>
          <c:showPercent val="0"/>
          <c:showBubbleSize val="0"/>
        </c:dLbls>
        <c:gapWidth val="444"/>
        <c:overlap val="-90"/>
        <c:axId val="586614776"/>
        <c:axId val="586615168"/>
      </c:barChart>
      <c:catAx>
        <c:axId val="586614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5168"/>
        <c:crosses val="autoZero"/>
        <c:auto val="1"/>
        <c:lblAlgn val="ctr"/>
        <c:lblOffset val="100"/>
        <c:noMultiLvlLbl val="0"/>
      </c:catAx>
      <c:valAx>
        <c:axId val="586615168"/>
        <c:scaling>
          <c:orientation val="minMax"/>
        </c:scaling>
        <c:delete val="1"/>
        <c:axPos val="l"/>
        <c:numFmt formatCode="General" sourceLinked="1"/>
        <c:majorTickMark val="none"/>
        <c:minorTickMark val="none"/>
        <c:tickLblPos val="nextTo"/>
        <c:crossAx val="586614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Sheet1!$B$2:$B$4</c:f>
              <c:numCache>
                <c:formatCode>General</c:formatCode>
                <c:ptCount val="3"/>
                <c:pt idx="0">
                  <c:v>1285</c:v>
                </c:pt>
                <c:pt idx="1">
                  <c:v>196</c:v>
                </c:pt>
                <c:pt idx="2">
                  <c:v>1265</c:v>
                </c:pt>
              </c:numCache>
            </c:numRef>
          </c:val>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Sheet1!$C$2:$C$4</c:f>
              <c:numCache>
                <c:formatCode>General</c:formatCode>
                <c:ptCount val="3"/>
                <c:pt idx="0">
                  <c:v>178</c:v>
                </c:pt>
                <c:pt idx="1">
                  <c:v>25</c:v>
                </c:pt>
                <c:pt idx="2">
                  <c:v>41</c:v>
                </c:pt>
              </c:numCache>
            </c:numRef>
          </c:val>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Sheet1!$D$2:$D$4</c:f>
              <c:numCache>
                <c:formatCode>General</c:formatCode>
                <c:ptCount val="3"/>
                <c:pt idx="0">
                  <c:v>80</c:v>
                </c:pt>
                <c:pt idx="1">
                  <c:v>11</c:v>
                </c:pt>
                <c:pt idx="2">
                  <c:v>5</c:v>
                </c:pt>
              </c:numCache>
            </c:numRef>
          </c:val>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Sheet1!$E$2:$E$4</c:f>
              <c:numCache>
                <c:formatCode>General</c:formatCode>
                <c:ptCount val="3"/>
                <c:pt idx="0">
                  <c:v>7</c:v>
                </c:pt>
                <c:pt idx="1">
                  <c:v>0</c:v>
                </c:pt>
                <c:pt idx="2">
                  <c:v>1</c:v>
                </c:pt>
              </c:numCache>
            </c:numRef>
          </c:val>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Sheet1!$F$2:$F$4</c:f>
              <c:numCache>
                <c:formatCode>General</c:formatCode>
                <c:ptCount val="3"/>
                <c:pt idx="0">
                  <c:v>504</c:v>
                </c:pt>
                <c:pt idx="1">
                  <c:v>1822</c:v>
                </c:pt>
                <c:pt idx="2">
                  <c:v>742</c:v>
                </c:pt>
              </c:numCache>
            </c:numRef>
          </c:val>
        </c:ser>
        <c:dLbls>
          <c:dLblPos val="outEnd"/>
          <c:showLegendKey val="0"/>
          <c:showVal val="1"/>
          <c:showCatName val="0"/>
          <c:showSerName val="0"/>
          <c:showPercent val="0"/>
          <c:showBubbleSize val="0"/>
        </c:dLbls>
        <c:gapWidth val="444"/>
        <c:overlap val="-90"/>
        <c:axId val="586615952"/>
        <c:axId val="586616344"/>
      </c:barChart>
      <c:catAx>
        <c:axId val="586615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6344"/>
        <c:crosses val="autoZero"/>
        <c:auto val="1"/>
        <c:lblAlgn val="ctr"/>
        <c:lblOffset val="100"/>
        <c:noMultiLvlLbl val="0"/>
      </c:catAx>
      <c:valAx>
        <c:axId val="586616344"/>
        <c:scaling>
          <c:orientation val="minMax"/>
        </c:scaling>
        <c:delete val="1"/>
        <c:axPos val="l"/>
        <c:numFmt formatCode="General" sourceLinked="1"/>
        <c:majorTickMark val="none"/>
        <c:minorTickMark val="none"/>
        <c:tickLblPos val="nextTo"/>
        <c:crossAx val="586615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1284</c:v>
                </c:pt>
                <c:pt idx="1">
                  <c:v>212</c:v>
                </c:pt>
                <c:pt idx="2">
                  <c:v>1256</c:v>
                </c:pt>
              </c:numCache>
            </c:numRef>
          </c:val>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155</c:v>
                </c:pt>
                <c:pt idx="1">
                  <c:v>20</c:v>
                </c:pt>
                <c:pt idx="2">
                  <c:v>46</c:v>
                </c:pt>
              </c:numCache>
            </c:numRef>
          </c:val>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73</c:v>
                </c:pt>
                <c:pt idx="1">
                  <c:v>11</c:v>
                </c:pt>
                <c:pt idx="2">
                  <c:v>7</c:v>
                </c:pt>
              </c:numCache>
            </c:numRef>
          </c:val>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10</c:v>
                </c:pt>
                <c:pt idx="1">
                  <c:v>0</c:v>
                </c:pt>
                <c:pt idx="2">
                  <c:v>1</c:v>
                </c:pt>
              </c:numCache>
            </c:numRef>
          </c:val>
        </c:ser>
        <c:ser>
          <c:idx val="4"/>
          <c:order val="4"/>
          <c:tx>
            <c:strRef>
              <c:f>Sheet1!$F$1</c:f>
              <c:strCache>
                <c:ptCount val="1"/>
                <c:pt idx="0">
                  <c:v> 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532</c:v>
                </c:pt>
                <c:pt idx="1">
                  <c:v>1811</c:v>
                </c:pt>
                <c:pt idx="2">
                  <c:v>744</c:v>
                </c:pt>
              </c:numCache>
            </c:numRef>
          </c:val>
        </c:ser>
        <c:dLbls>
          <c:dLblPos val="outEnd"/>
          <c:showLegendKey val="0"/>
          <c:showVal val="1"/>
          <c:showCatName val="0"/>
          <c:showSerName val="0"/>
          <c:showPercent val="0"/>
          <c:showBubbleSize val="0"/>
        </c:dLbls>
        <c:gapWidth val="444"/>
        <c:overlap val="-90"/>
        <c:axId val="586617128"/>
        <c:axId val="586617520"/>
      </c:barChart>
      <c:catAx>
        <c:axId val="586617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7520"/>
        <c:crosses val="autoZero"/>
        <c:auto val="1"/>
        <c:lblAlgn val="ctr"/>
        <c:lblOffset val="100"/>
        <c:noMultiLvlLbl val="0"/>
      </c:catAx>
      <c:valAx>
        <c:axId val="586617520"/>
        <c:scaling>
          <c:orientation val="minMax"/>
        </c:scaling>
        <c:delete val="1"/>
        <c:axPos val="l"/>
        <c:numFmt formatCode="General" sourceLinked="1"/>
        <c:majorTickMark val="none"/>
        <c:minorTickMark val="none"/>
        <c:tickLblPos val="nextTo"/>
        <c:crossAx val="586617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1197</c:v>
                </c:pt>
                <c:pt idx="1">
                  <c:v>174</c:v>
                </c:pt>
                <c:pt idx="2">
                  <c:v>1218</c:v>
                </c:pt>
              </c:numCache>
            </c:numRef>
          </c:val>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238</c:v>
                </c:pt>
                <c:pt idx="1">
                  <c:v>43</c:v>
                </c:pt>
                <c:pt idx="2">
                  <c:v>84</c:v>
                </c:pt>
              </c:numCache>
            </c:numRef>
          </c:val>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86</c:v>
                </c:pt>
                <c:pt idx="1">
                  <c:v>9</c:v>
                </c:pt>
                <c:pt idx="2">
                  <c:v>10</c:v>
                </c:pt>
              </c:numCache>
            </c:numRef>
          </c:val>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10</c:v>
                </c:pt>
                <c:pt idx="1">
                  <c:v>1</c:v>
                </c:pt>
                <c:pt idx="2">
                  <c:v>0</c:v>
                </c:pt>
              </c:numCache>
            </c:numRef>
          </c:val>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523</c:v>
                </c:pt>
                <c:pt idx="1">
                  <c:v>1827</c:v>
                </c:pt>
                <c:pt idx="2">
                  <c:v>742</c:v>
                </c:pt>
              </c:numCache>
            </c:numRef>
          </c:val>
        </c:ser>
        <c:dLbls>
          <c:dLblPos val="outEnd"/>
          <c:showLegendKey val="0"/>
          <c:showVal val="1"/>
          <c:showCatName val="0"/>
          <c:showSerName val="0"/>
          <c:showPercent val="0"/>
          <c:showBubbleSize val="0"/>
        </c:dLbls>
        <c:gapWidth val="444"/>
        <c:overlap val="-90"/>
        <c:axId val="586618304"/>
        <c:axId val="586618696"/>
      </c:barChart>
      <c:catAx>
        <c:axId val="586618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8696"/>
        <c:crosses val="autoZero"/>
        <c:auto val="1"/>
        <c:lblAlgn val="ctr"/>
        <c:lblOffset val="100"/>
        <c:noMultiLvlLbl val="0"/>
      </c:catAx>
      <c:valAx>
        <c:axId val="586618696"/>
        <c:scaling>
          <c:orientation val="minMax"/>
        </c:scaling>
        <c:delete val="1"/>
        <c:axPos val="l"/>
        <c:numFmt formatCode="General" sourceLinked="1"/>
        <c:majorTickMark val="none"/>
        <c:minorTickMark val="none"/>
        <c:tickLblPos val="nextTo"/>
        <c:crossAx val="586618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Sheet1!$B$2:$B$4</c:f>
              <c:numCache>
                <c:formatCode>General</c:formatCode>
                <c:ptCount val="3"/>
                <c:pt idx="0">
                  <c:v>1102</c:v>
                </c:pt>
                <c:pt idx="1">
                  <c:v>178</c:v>
                </c:pt>
                <c:pt idx="2">
                  <c:v>1222</c:v>
                </c:pt>
              </c:numCache>
            </c:numRef>
          </c:val>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Sheet1!$C$2:$C$4</c:f>
              <c:numCache>
                <c:formatCode>General</c:formatCode>
                <c:ptCount val="3"/>
                <c:pt idx="0">
                  <c:v>291</c:v>
                </c:pt>
                <c:pt idx="1">
                  <c:v>45</c:v>
                </c:pt>
                <c:pt idx="2">
                  <c:v>86</c:v>
                </c:pt>
              </c:numCache>
            </c:numRef>
          </c:val>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Sheet1!$D$2:$D$4</c:f>
              <c:numCache>
                <c:formatCode>General</c:formatCode>
                <c:ptCount val="3"/>
                <c:pt idx="0">
                  <c:v>135</c:v>
                </c:pt>
                <c:pt idx="1">
                  <c:v>9</c:v>
                </c:pt>
                <c:pt idx="2">
                  <c:v>12</c:v>
                </c:pt>
              </c:numCache>
            </c:numRef>
          </c:val>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Sheet1!$E$2:$E$4</c:f>
              <c:numCache>
                <c:formatCode>General</c:formatCode>
                <c:ptCount val="3"/>
                <c:pt idx="0">
                  <c:v>6</c:v>
                </c:pt>
                <c:pt idx="1">
                  <c:v>0</c:v>
                </c:pt>
                <c:pt idx="2">
                  <c:v>0</c:v>
                </c:pt>
              </c:numCache>
            </c:numRef>
          </c:val>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Sheet1!$F$2:$F$4</c:f>
              <c:numCache>
                <c:formatCode>General</c:formatCode>
                <c:ptCount val="3"/>
                <c:pt idx="0">
                  <c:v>520</c:v>
                </c:pt>
                <c:pt idx="1">
                  <c:v>1822</c:v>
                </c:pt>
                <c:pt idx="2">
                  <c:v>734</c:v>
                </c:pt>
              </c:numCache>
            </c:numRef>
          </c:val>
        </c:ser>
        <c:dLbls>
          <c:dLblPos val="outEnd"/>
          <c:showLegendKey val="0"/>
          <c:showVal val="1"/>
          <c:showCatName val="0"/>
          <c:showSerName val="0"/>
          <c:showPercent val="0"/>
          <c:showBubbleSize val="0"/>
        </c:dLbls>
        <c:gapWidth val="444"/>
        <c:overlap val="-90"/>
        <c:axId val="586619480"/>
        <c:axId val="586619872"/>
      </c:barChart>
      <c:catAx>
        <c:axId val="586619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19872"/>
        <c:crosses val="autoZero"/>
        <c:auto val="1"/>
        <c:lblAlgn val="ctr"/>
        <c:lblOffset val="100"/>
        <c:noMultiLvlLbl val="0"/>
      </c:catAx>
      <c:valAx>
        <c:axId val="586619872"/>
        <c:scaling>
          <c:orientation val="minMax"/>
        </c:scaling>
        <c:delete val="1"/>
        <c:axPos val="l"/>
        <c:numFmt formatCode="General" sourceLinked="1"/>
        <c:majorTickMark val="none"/>
        <c:minorTickMark val="none"/>
        <c:tickLblPos val="nextTo"/>
        <c:crossAx val="586619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Sheet1!$B$2:$B$4</c:f>
              <c:numCache>
                <c:formatCode>General</c:formatCode>
                <c:ptCount val="3"/>
                <c:pt idx="0">
                  <c:v>1201</c:v>
                </c:pt>
                <c:pt idx="1">
                  <c:v>173</c:v>
                </c:pt>
                <c:pt idx="2">
                  <c:v>1253</c:v>
                </c:pt>
              </c:numCache>
            </c:numRef>
          </c:val>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Sheet1!$C$2:$C$4</c:f>
              <c:numCache>
                <c:formatCode>General</c:formatCode>
                <c:ptCount val="3"/>
                <c:pt idx="0">
                  <c:v>205</c:v>
                </c:pt>
                <c:pt idx="1">
                  <c:v>23</c:v>
                </c:pt>
                <c:pt idx="2">
                  <c:v>37</c:v>
                </c:pt>
              </c:numCache>
            </c:numRef>
          </c:val>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Sheet1!$D$2:$D$4</c:f>
              <c:numCache>
                <c:formatCode>General</c:formatCode>
                <c:ptCount val="3"/>
                <c:pt idx="0">
                  <c:v>66</c:v>
                </c:pt>
                <c:pt idx="1">
                  <c:v>6</c:v>
                </c:pt>
                <c:pt idx="2">
                  <c:v>6</c:v>
                </c:pt>
              </c:numCache>
            </c:numRef>
          </c:val>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Sheet1!$E$2:$E$4</c:f>
              <c:numCache>
                <c:formatCode>General</c:formatCode>
                <c:ptCount val="3"/>
                <c:pt idx="0">
                  <c:v>15</c:v>
                </c:pt>
                <c:pt idx="1">
                  <c:v>0</c:v>
                </c:pt>
                <c:pt idx="2">
                  <c:v>1</c:v>
                </c:pt>
              </c:numCache>
            </c:numRef>
          </c:val>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Sheet1!$F$2:$F$4</c:f>
              <c:numCache>
                <c:formatCode>General</c:formatCode>
                <c:ptCount val="3"/>
                <c:pt idx="0">
                  <c:v>567</c:v>
                </c:pt>
                <c:pt idx="1">
                  <c:v>1852</c:v>
                </c:pt>
                <c:pt idx="2">
                  <c:v>757</c:v>
                </c:pt>
              </c:numCache>
            </c:numRef>
          </c:val>
        </c:ser>
        <c:dLbls>
          <c:dLblPos val="outEnd"/>
          <c:showLegendKey val="0"/>
          <c:showVal val="1"/>
          <c:showCatName val="0"/>
          <c:showSerName val="0"/>
          <c:showPercent val="0"/>
          <c:showBubbleSize val="0"/>
        </c:dLbls>
        <c:gapWidth val="444"/>
        <c:overlap val="-90"/>
        <c:axId val="586620656"/>
        <c:axId val="586621048"/>
      </c:barChart>
      <c:catAx>
        <c:axId val="586620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21048"/>
        <c:crosses val="autoZero"/>
        <c:auto val="1"/>
        <c:lblAlgn val="ctr"/>
        <c:lblOffset val="100"/>
        <c:noMultiLvlLbl val="0"/>
      </c:catAx>
      <c:valAx>
        <c:axId val="586621048"/>
        <c:scaling>
          <c:orientation val="minMax"/>
        </c:scaling>
        <c:delete val="1"/>
        <c:axPos val="l"/>
        <c:numFmt formatCode="General" sourceLinked="1"/>
        <c:majorTickMark val="none"/>
        <c:minorTickMark val="none"/>
        <c:tickLblPos val="nextTo"/>
        <c:crossAx val="586620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Referral to Restorative Solutions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Sheet1!$B$2:$B$20</c:f>
              <c:numCache>
                <c:formatCode>General</c:formatCode>
                <c:ptCount val="19"/>
                <c:pt idx="0">
                  <c:v>236</c:v>
                </c:pt>
                <c:pt idx="1">
                  <c:v>51</c:v>
                </c:pt>
                <c:pt idx="2">
                  <c:v>41</c:v>
                </c:pt>
                <c:pt idx="3">
                  <c:v>1102</c:v>
                </c:pt>
                <c:pt idx="4">
                  <c:v>523</c:v>
                </c:pt>
                <c:pt idx="5">
                  <c:v>14</c:v>
                </c:pt>
                <c:pt idx="6">
                  <c:v>167</c:v>
                </c:pt>
                <c:pt idx="7">
                  <c:v>174</c:v>
                </c:pt>
                <c:pt idx="8">
                  <c:v>84</c:v>
                </c:pt>
                <c:pt idx="9">
                  <c:v>118</c:v>
                </c:pt>
                <c:pt idx="10">
                  <c:v>14</c:v>
                </c:pt>
                <c:pt idx="11">
                  <c:v>34</c:v>
                </c:pt>
                <c:pt idx="12">
                  <c:v>41</c:v>
                </c:pt>
                <c:pt idx="13">
                  <c:v>182</c:v>
                </c:pt>
                <c:pt idx="14">
                  <c:v>401</c:v>
                </c:pt>
                <c:pt idx="15">
                  <c:v>305</c:v>
                </c:pt>
                <c:pt idx="16">
                  <c:v>135</c:v>
                </c:pt>
                <c:pt idx="17">
                  <c:v>14</c:v>
                </c:pt>
                <c:pt idx="18">
                  <c:v>105</c:v>
                </c:pt>
              </c:numCache>
            </c:numRef>
          </c:val>
        </c:ser>
        <c:ser>
          <c:idx val="1"/>
          <c:order val="1"/>
          <c:tx>
            <c:strRef>
              <c:f>Sheet1!$C$1</c:f>
              <c:strCache>
                <c:ptCount val="1"/>
                <c:pt idx="0">
                  <c:v>Positive Outcome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Referral to Restorative Solutions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Sheet1!$C$2:$C$20</c:f>
              <c:numCache>
                <c:formatCode>General</c:formatCode>
                <c:ptCount val="19"/>
                <c:pt idx="0">
                  <c:v>156</c:v>
                </c:pt>
                <c:pt idx="1">
                  <c:v>30</c:v>
                </c:pt>
                <c:pt idx="2">
                  <c:v>23</c:v>
                </c:pt>
                <c:pt idx="3">
                  <c:v>635</c:v>
                </c:pt>
                <c:pt idx="4">
                  <c:v>277</c:v>
                </c:pt>
                <c:pt idx="5">
                  <c:v>8</c:v>
                </c:pt>
                <c:pt idx="6">
                  <c:v>107</c:v>
                </c:pt>
                <c:pt idx="7">
                  <c:v>99</c:v>
                </c:pt>
                <c:pt idx="8">
                  <c:v>58</c:v>
                </c:pt>
                <c:pt idx="9">
                  <c:v>60</c:v>
                </c:pt>
                <c:pt idx="10">
                  <c:v>8</c:v>
                </c:pt>
                <c:pt idx="11">
                  <c:v>17</c:v>
                </c:pt>
                <c:pt idx="12">
                  <c:v>20</c:v>
                </c:pt>
                <c:pt idx="13">
                  <c:v>89</c:v>
                </c:pt>
                <c:pt idx="14">
                  <c:v>225</c:v>
                </c:pt>
                <c:pt idx="15">
                  <c:v>191</c:v>
                </c:pt>
                <c:pt idx="16">
                  <c:v>68</c:v>
                </c:pt>
                <c:pt idx="17">
                  <c:v>4</c:v>
                </c:pt>
                <c:pt idx="18">
                  <c:v>55</c:v>
                </c:pt>
              </c:numCache>
            </c:numRef>
          </c:val>
        </c:ser>
        <c:ser>
          <c:idx val="2"/>
          <c:order val="2"/>
          <c:tx>
            <c:strRef>
              <c:f>Sheet1!$D$1</c:f>
              <c:strCache>
                <c:ptCount val="1"/>
                <c:pt idx="0">
                  <c:v>Negative Outcome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Referral to Restorative Solutions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Sheet1!$D$2:$D$20</c:f>
              <c:numCache>
                <c:formatCode>General</c:formatCode>
                <c:ptCount val="19"/>
                <c:pt idx="0">
                  <c:v>0</c:v>
                </c:pt>
                <c:pt idx="1">
                  <c:v>1</c:v>
                </c:pt>
                <c:pt idx="2">
                  <c:v>0</c:v>
                </c:pt>
                <c:pt idx="3">
                  <c:v>4</c:v>
                </c:pt>
                <c:pt idx="4">
                  <c:v>5</c:v>
                </c:pt>
                <c:pt idx="5">
                  <c:v>1</c:v>
                </c:pt>
                <c:pt idx="6">
                  <c:v>4</c:v>
                </c:pt>
                <c:pt idx="7">
                  <c:v>2</c:v>
                </c:pt>
                <c:pt idx="8">
                  <c:v>2</c:v>
                </c:pt>
                <c:pt idx="9">
                  <c:v>1</c:v>
                </c:pt>
                <c:pt idx="10">
                  <c:v>2</c:v>
                </c:pt>
                <c:pt idx="11">
                  <c:v>0</c:v>
                </c:pt>
                <c:pt idx="12">
                  <c:v>0</c:v>
                </c:pt>
                <c:pt idx="13">
                  <c:v>1</c:v>
                </c:pt>
                <c:pt idx="14">
                  <c:v>0</c:v>
                </c:pt>
                <c:pt idx="15">
                  <c:v>0</c:v>
                </c:pt>
                <c:pt idx="16">
                  <c:v>0</c:v>
                </c:pt>
                <c:pt idx="17">
                  <c:v>2</c:v>
                </c:pt>
                <c:pt idx="18">
                  <c:v>4</c:v>
                </c:pt>
              </c:numCache>
            </c:numRef>
          </c:val>
        </c:ser>
        <c:dLbls>
          <c:dLblPos val="outEnd"/>
          <c:showLegendKey val="0"/>
          <c:showVal val="1"/>
          <c:showCatName val="0"/>
          <c:showSerName val="0"/>
          <c:showPercent val="0"/>
          <c:showBubbleSize val="0"/>
        </c:dLbls>
        <c:gapWidth val="444"/>
        <c:overlap val="-90"/>
        <c:axId val="586621832"/>
        <c:axId val="586622224"/>
      </c:barChart>
      <c:catAx>
        <c:axId val="586621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22224"/>
        <c:crosses val="autoZero"/>
        <c:auto val="1"/>
        <c:lblAlgn val="ctr"/>
        <c:lblOffset val="100"/>
        <c:noMultiLvlLbl val="0"/>
      </c:catAx>
      <c:valAx>
        <c:axId val="586622224"/>
        <c:scaling>
          <c:orientation val="minMax"/>
        </c:scaling>
        <c:delete val="1"/>
        <c:axPos val="l"/>
        <c:numFmt formatCode="General" sourceLinked="1"/>
        <c:majorTickMark val="none"/>
        <c:minorTickMark val="none"/>
        <c:tickLblPos val="nextTo"/>
        <c:crossAx val="586621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Sheet1!$A$2:$A$23</c:f>
              <c:strCache>
                <c:ptCount val="22"/>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strCache>
            </c:strRef>
          </c:cat>
          <c:val>
            <c:numRef>
              <c:f>Sheet1!$B$2:$B$23</c:f>
              <c:numCache>
                <c:formatCode>General</c:formatCode>
                <c:ptCount val="22"/>
                <c:pt idx="0">
                  <c:v>589</c:v>
                </c:pt>
                <c:pt idx="1">
                  <c:v>74</c:v>
                </c:pt>
                <c:pt idx="2">
                  <c:v>158</c:v>
                </c:pt>
                <c:pt idx="3">
                  <c:v>137</c:v>
                </c:pt>
                <c:pt idx="4">
                  <c:v>135</c:v>
                </c:pt>
                <c:pt idx="5">
                  <c:v>108</c:v>
                </c:pt>
                <c:pt idx="6">
                  <c:v>124</c:v>
                </c:pt>
                <c:pt idx="7">
                  <c:v>386</c:v>
                </c:pt>
                <c:pt idx="8">
                  <c:v>169</c:v>
                </c:pt>
                <c:pt idx="9">
                  <c:v>82</c:v>
                </c:pt>
                <c:pt idx="10">
                  <c:v>40</c:v>
                </c:pt>
                <c:pt idx="11">
                  <c:v>22</c:v>
                </c:pt>
                <c:pt idx="12">
                  <c:v>17</c:v>
                </c:pt>
                <c:pt idx="13">
                  <c:v>8</c:v>
                </c:pt>
                <c:pt idx="14">
                  <c:v>0</c:v>
                </c:pt>
                <c:pt idx="15">
                  <c:v>0</c:v>
                </c:pt>
                <c:pt idx="16">
                  <c:v>3</c:v>
                </c:pt>
                <c:pt idx="17">
                  <c:v>0</c:v>
                </c:pt>
                <c:pt idx="18">
                  <c:v>0</c:v>
                </c:pt>
                <c:pt idx="19">
                  <c:v>0</c:v>
                </c:pt>
                <c:pt idx="20">
                  <c:v>0</c:v>
                </c:pt>
                <c:pt idx="21">
                  <c:v>2</c:v>
                </c:pt>
              </c:numCache>
            </c:numRef>
          </c:val>
        </c:ser>
        <c:dLbls>
          <c:dLblPos val="inEnd"/>
          <c:showLegendKey val="0"/>
          <c:showVal val="1"/>
          <c:showCatName val="0"/>
          <c:showSerName val="0"/>
          <c:showPercent val="0"/>
          <c:showBubbleSize val="0"/>
        </c:dLbls>
        <c:gapWidth val="182"/>
        <c:axId val="586623008"/>
        <c:axId val="586623400"/>
      </c:barChart>
      <c:catAx>
        <c:axId val="58662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23400"/>
        <c:crosses val="autoZero"/>
        <c:auto val="1"/>
        <c:lblAlgn val="ctr"/>
        <c:lblOffset val="100"/>
        <c:noMultiLvlLbl val="0"/>
      </c:catAx>
      <c:valAx>
        <c:axId val="586623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2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sz="1600" b="1" cap="none">
                <a:solidFill>
                  <a:schemeClr val="tx1"/>
                </a:solidFill>
                <a:latin typeface="+mj-lt"/>
              </a:rPr>
              <a:t>Number of cases referred in</a:t>
            </a:r>
          </a:p>
        </c:rich>
      </c:tx>
      <c:overlay val="1"/>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2015-2016</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Sheet1!$B$2:$B$14</c:f>
              <c:numCache>
                <c:formatCode>General</c:formatCode>
                <c:ptCount val="13"/>
                <c:pt idx="4">
                  <c:v>449</c:v>
                </c:pt>
                <c:pt idx="5">
                  <c:v>468</c:v>
                </c:pt>
                <c:pt idx="6">
                  <c:v>413</c:v>
                </c:pt>
                <c:pt idx="7">
                  <c:v>475</c:v>
                </c:pt>
                <c:pt idx="8">
                  <c:v>435</c:v>
                </c:pt>
                <c:pt idx="9">
                  <c:v>550</c:v>
                </c:pt>
                <c:pt idx="10">
                  <c:v>729</c:v>
                </c:pt>
                <c:pt idx="11">
                  <c:v>1055</c:v>
                </c:pt>
                <c:pt idx="12">
                  <c:v>1146</c:v>
                </c:pt>
              </c:numCache>
            </c:numRef>
          </c:val>
          <c:smooth val="0"/>
        </c:ser>
        <c:ser>
          <c:idx val="1"/>
          <c:order val="1"/>
          <c:tx>
            <c:strRef>
              <c:f>Sheet1!$C$1</c:f>
              <c:strCache>
                <c:ptCount val="1"/>
                <c:pt idx="0">
                  <c:v>2016-2017</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Sheet1!$C$2:$C$14</c:f>
              <c:numCache>
                <c:formatCode>General</c:formatCode>
                <c:ptCount val="13"/>
                <c:pt idx="1">
                  <c:v>1174</c:v>
                </c:pt>
                <c:pt idx="2">
                  <c:v>1174</c:v>
                </c:pt>
                <c:pt idx="3">
                  <c:v>1026</c:v>
                </c:pt>
                <c:pt idx="4">
                  <c:v>965</c:v>
                </c:pt>
                <c:pt idx="5">
                  <c:v>922</c:v>
                </c:pt>
                <c:pt idx="6">
                  <c:v>1024</c:v>
                </c:pt>
                <c:pt idx="7">
                  <c:v>994</c:v>
                </c:pt>
                <c:pt idx="8">
                  <c:v>1303</c:v>
                </c:pt>
                <c:pt idx="9">
                  <c:v>1095</c:v>
                </c:pt>
                <c:pt idx="10">
                  <c:v>1188</c:v>
                </c:pt>
                <c:pt idx="11">
                  <c:v>1267</c:v>
                </c:pt>
                <c:pt idx="12">
                  <c:v>1139</c:v>
                </c:pt>
              </c:numCache>
            </c:numRef>
          </c:val>
          <c:smooth val="0"/>
        </c:ser>
        <c:dLbls>
          <c:dLblPos val="ctr"/>
          <c:showLegendKey val="0"/>
          <c:showVal val="1"/>
          <c:showCatName val="0"/>
          <c:showSerName val="0"/>
          <c:showPercent val="0"/>
          <c:showBubbleSize val="0"/>
        </c:dLbls>
        <c:marker val="1"/>
        <c:smooth val="0"/>
        <c:axId val="586624184"/>
        <c:axId val="586624576"/>
      </c:lineChart>
      <c:catAx>
        <c:axId val="58662418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586624576"/>
        <c:crosses val="autoZero"/>
        <c:auto val="1"/>
        <c:lblAlgn val="ctr"/>
        <c:lblOffset val="100"/>
        <c:noMultiLvlLbl val="0"/>
      </c:catAx>
      <c:valAx>
        <c:axId val="586624576"/>
        <c:scaling>
          <c:orientation val="minMax"/>
        </c:scaling>
        <c:delete val="1"/>
        <c:axPos val="l"/>
        <c:numFmt formatCode="General" sourceLinked="1"/>
        <c:majorTickMark val="none"/>
        <c:minorTickMark val="none"/>
        <c:tickLblPos val="nextTo"/>
        <c:crossAx val="586624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Sheet1!$B$2</c:f>
              <c:strCache>
                <c:ptCount val="1"/>
                <c:pt idx="0">
                  <c:v>74</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explosion val="22"/>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dLbl>
              <c:idx val="0"/>
              <c:layout>
                <c:manualLayout>
                  <c:x val="0.21575145814144983"/>
                  <c:y val="-1.9142032272180594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
              <c:layout>
                <c:manualLayout>
                  <c:x val="0.25902240922245251"/>
                  <c:y val="6.4240702872644245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2"/>
              <c:layout>
                <c:manualLayout>
                  <c:x val="0.15386831920967012"/>
                  <c:y val="0.22966548964671971"/>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3"/>
              <c:layout>
                <c:manualLayout>
                  <c:x val="0.45436912862484569"/>
                  <c:y val="-1.371287868988414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25532"/>
                        <a:gd name="adj2" fmla="val -325503"/>
                      </a:avLst>
                    </a:prstGeom>
                  </c15:spPr>
                </c:ext>
              </c:extLst>
            </c:dLbl>
            <c:dLbl>
              <c:idx val="4"/>
              <c:layout>
                <c:manualLayout>
                  <c:x val="-0.24709103766090956"/>
                  <c:y val="0.301441138452590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82375"/>
                        <a:gd name="adj2" fmla="val -389713"/>
                      </a:avLst>
                    </a:prstGeom>
                  </c15:spPr>
                </c:ext>
              </c:extLst>
            </c:dLbl>
            <c:dLbl>
              <c:idx val="5"/>
              <c:layout>
                <c:manualLayout>
                  <c:x val="-0.24594965323387064"/>
                  <c:y val="0.2081951045878090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88144"/>
                        <a:gd name="adj2" fmla="val -212824"/>
                      </a:avLst>
                    </a:prstGeom>
                  </c15:spPr>
                  <c15:layout>
                    <c:manualLayout>
                      <c:w val="0.15896976348878189"/>
                      <c:h val="5.9163462658744032E-2"/>
                    </c:manualLayout>
                  </c15:layout>
                </c:ext>
              </c:extLst>
            </c:dLbl>
            <c:dLbl>
              <c:idx val="6"/>
              <c:layout>
                <c:manualLayout>
                  <c:x val="-0.24815828194230569"/>
                  <c:y val="0.106007939150912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97272"/>
                        <a:gd name="adj2" fmla="val -200689"/>
                      </a:avLst>
                    </a:prstGeom>
                  </c15:spPr>
                </c:ext>
              </c:extLst>
            </c:dLbl>
            <c:dLbl>
              <c:idx val="7"/>
              <c:layout>
                <c:manualLayout>
                  <c:x val="-0.1356548682766362"/>
                  <c:y val="7.1686110889406907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8"/>
              <c:layout>
                <c:manualLayout>
                  <c:x val="-0.29121470425454365"/>
                  <c:y val="3.6494040132435374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9"/>
              <c:layout>
                <c:manualLayout>
                  <c:x val="-0.1822960808522171"/>
                  <c:y val="-3.1200110821519557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0"/>
              <c:layout>
                <c:manualLayout>
                  <c:x val="-6.2504192448711998E-2"/>
                  <c:y val="-2.6248370474138128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1"/>
              <c:layout>
                <c:manualLayout>
                  <c:x val="9.9070340722772959E-2"/>
                  <c:y val="-3.0171892616883217E-2"/>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2"/>
              <c:layout>
                <c:manualLayout>
                  <c:x val="0.3626424905006333"/>
                  <c:y val="0.17247844019497563"/>
                </c:manualLayout>
              </c:layout>
              <c:dLblPos val="bestFit"/>
              <c:showLegendKey val="0"/>
              <c:showVal val="0"/>
              <c:showCatName val="1"/>
              <c:showSerName val="0"/>
              <c:showPercent val="0"/>
              <c:showBubbleSize val="0"/>
              <c:extLst>
                <c:ext xmlns:c15="http://schemas.microsoft.com/office/drawing/2012/chart" uri="{CE6537A1-D6FC-4f65-9D91-7224C49458BB}"/>
              </c:extLst>
            </c:dLbl>
            <c:dLbl>
              <c:idx val="13"/>
              <c:layout>
                <c:manualLayout>
                  <c:x val="0.2906472901806546"/>
                  <c:y val="0.23997000374953131"/>
                </c:manualLayout>
              </c:layout>
              <c:dLblPos val="bestFit"/>
              <c:showLegendKey val="0"/>
              <c:showVal val="0"/>
              <c:showCatName val="1"/>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Sheet1!$A$2:$A$14</c:f>
              <c:strCache>
                <c:ptCount val="12"/>
                <c:pt idx="0">
                  <c:v>Action Fraud 74 (3.6%)</c:v>
                </c:pt>
                <c:pt idx="1">
                  <c:v>Sentinel 23 (1.1%)</c:v>
                </c:pt>
                <c:pt idx="2">
                  <c:v>Self Referrals 132 (6.4%)</c:v>
                </c:pt>
                <c:pt idx="3">
                  <c:v>Leicestershire Crime Report 1,701 (82.2%)</c:v>
                </c:pt>
                <c:pt idx="4">
                  <c:v>Leicestershire County Council 8 (0.4%)</c:v>
                </c:pt>
                <c:pt idx="5">
                  <c:v>Leicester City Council 6 (0.3%)</c:v>
                </c:pt>
                <c:pt idx="6">
                  <c:v>Police Contact 35 (1.7%)</c:v>
                </c:pt>
                <c:pt idx="7">
                  <c:v>RTC 5 (0.2%)</c:v>
                </c:pt>
                <c:pt idx="8">
                  <c:v>Other Victim Support Services 17 (0.8%)</c:v>
                </c:pt>
                <c:pt idx="9">
                  <c:v>Other 35 (1.7%)</c:v>
                </c:pt>
                <c:pt idx="10">
                  <c:v>Witness Care Unit 10 (0.5%0</c:v>
                </c:pt>
                <c:pt idx="11">
                  <c:v>Unknown 5 (0.2%)</c:v>
                </c:pt>
              </c:strCache>
            </c:strRef>
          </c:cat>
          <c:val>
            <c:numRef>
              <c:f>Sheet1!$B$2:$B$14</c:f>
              <c:numCache>
                <c:formatCode>General</c:formatCode>
                <c:ptCount val="13"/>
                <c:pt idx="0">
                  <c:v>74</c:v>
                </c:pt>
                <c:pt idx="1">
                  <c:v>23</c:v>
                </c:pt>
                <c:pt idx="2">
                  <c:v>132</c:v>
                </c:pt>
                <c:pt idx="3">
                  <c:v>1704</c:v>
                </c:pt>
                <c:pt idx="4">
                  <c:v>8</c:v>
                </c:pt>
                <c:pt idx="5">
                  <c:v>6</c:v>
                </c:pt>
                <c:pt idx="6">
                  <c:v>35</c:v>
                </c:pt>
                <c:pt idx="7">
                  <c:v>5</c:v>
                </c:pt>
                <c:pt idx="8">
                  <c:v>17</c:v>
                </c:pt>
                <c:pt idx="9">
                  <c:v>35</c:v>
                </c:pt>
                <c:pt idx="10">
                  <c:v>10</c:v>
                </c:pt>
                <c:pt idx="11">
                  <c:v>5</c:v>
                </c:pt>
              </c:numCache>
            </c:numRef>
          </c:val>
        </c:ser>
        <c:dLbls>
          <c:showLegendKey val="0"/>
          <c:showVal val="1"/>
          <c:showCatName val="0"/>
          <c:showSerName val="0"/>
          <c:showPercent val="0"/>
          <c:showBubbleSize val="0"/>
          <c:showLeaderLines val="0"/>
        </c:dLbls>
        <c:firstSliceAng val="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sz="1600" b="1" cap="none">
                <a:solidFill>
                  <a:schemeClr val="tx1"/>
                </a:solidFill>
              </a:rPr>
              <a:t>Number of cases closed Oct 2016-Sept 2017</a:t>
            </a:r>
          </a:p>
          <a:p>
            <a:pPr>
              <a:defRPr/>
            </a:pPr>
            <a:endParaRPr lang="en-GB"/>
          </a:p>
        </c:rich>
      </c:tx>
      <c:layout>
        <c:manualLayout>
          <c:xMode val="edge"/>
          <c:yMode val="edge"/>
          <c:x val="0.25633724355884085"/>
          <c:y val="5.3639846743295021E-2"/>
        </c:manualLayout>
      </c:layout>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Cases Closed</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Sheet1!$A$2:$A$13</c:f>
              <c:numCache>
                <c:formatCode>mmm\-yy</c:formatCode>
                <c:ptCount val="12"/>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Sheet1!$B$2:$B$13</c:f>
              <c:numCache>
                <c:formatCode>General</c:formatCode>
                <c:ptCount val="12"/>
                <c:pt idx="0">
                  <c:v>1206</c:v>
                </c:pt>
                <c:pt idx="1">
                  <c:v>1234</c:v>
                </c:pt>
                <c:pt idx="2">
                  <c:v>982</c:v>
                </c:pt>
                <c:pt idx="3">
                  <c:v>853</c:v>
                </c:pt>
                <c:pt idx="4">
                  <c:v>884</c:v>
                </c:pt>
                <c:pt idx="5">
                  <c:v>968</c:v>
                </c:pt>
                <c:pt idx="6">
                  <c:v>874</c:v>
                </c:pt>
                <c:pt idx="7">
                  <c:v>1274</c:v>
                </c:pt>
                <c:pt idx="8">
                  <c:v>1110</c:v>
                </c:pt>
                <c:pt idx="9">
                  <c:v>1072</c:v>
                </c:pt>
                <c:pt idx="10">
                  <c:v>1245</c:v>
                </c:pt>
                <c:pt idx="11">
                  <c:v>1176</c:v>
                </c:pt>
              </c:numCache>
            </c:numRef>
          </c:val>
          <c:smooth val="0"/>
        </c:ser>
        <c:dLbls>
          <c:dLblPos val="ctr"/>
          <c:showLegendKey val="0"/>
          <c:showVal val="1"/>
          <c:showCatName val="0"/>
          <c:showSerName val="0"/>
          <c:showPercent val="0"/>
          <c:showBubbleSize val="0"/>
        </c:dLbls>
        <c:marker val="1"/>
        <c:smooth val="0"/>
        <c:axId val="586625360"/>
        <c:axId val="586625752"/>
      </c:lineChart>
      <c:dateAx>
        <c:axId val="586625360"/>
        <c:scaling>
          <c:orientation val="minMax"/>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586625752"/>
        <c:crosses val="autoZero"/>
        <c:auto val="1"/>
        <c:lblOffset val="100"/>
        <c:baseTimeUnit val="months"/>
      </c:dateAx>
      <c:valAx>
        <c:axId val="586625752"/>
        <c:scaling>
          <c:orientation val="minMax"/>
        </c:scaling>
        <c:delete val="1"/>
        <c:axPos val="l"/>
        <c:numFmt formatCode="General" sourceLinked="1"/>
        <c:majorTickMark val="none"/>
        <c:minorTickMark val="none"/>
        <c:tickLblPos val="nextTo"/>
        <c:crossAx val="58662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a:solidFill>
                  <a:schemeClr val="tx1"/>
                </a:solidFill>
                <a:latin typeface="Arial (Body)"/>
              </a:rPr>
              <a:t>Number</a:t>
            </a:r>
            <a:r>
              <a:rPr lang="en-US" sz="1600" b="1" baseline="0">
                <a:solidFill>
                  <a:schemeClr val="tx1"/>
                </a:solidFill>
                <a:latin typeface="Arial (Body)"/>
              </a:rPr>
              <a:t> of victims accepting e</a:t>
            </a:r>
            <a:r>
              <a:rPr lang="en-US" sz="1600" b="1">
                <a:solidFill>
                  <a:schemeClr val="tx1"/>
                </a:solidFill>
                <a:latin typeface="Arial (Body)"/>
              </a:rPr>
              <a:t>nhanced support (Closed</a:t>
            </a:r>
            <a:r>
              <a:rPr lang="en-US" sz="1600" b="1" baseline="0">
                <a:solidFill>
                  <a:schemeClr val="tx1"/>
                </a:solidFill>
                <a:latin typeface="Arial (Body)"/>
              </a:rPr>
              <a:t> Cases O</a:t>
            </a:r>
            <a:r>
              <a:rPr lang="en-US" sz="1600" b="1">
                <a:solidFill>
                  <a:schemeClr val="tx1"/>
                </a:solidFill>
                <a:latin typeface="Arial (Body)"/>
              </a:rPr>
              <a:t>ct 2016-Sept</a:t>
            </a:r>
            <a:r>
              <a:rPr lang="en-US" sz="1600" b="1" baseline="0">
                <a:solidFill>
                  <a:schemeClr val="tx1"/>
                </a:solidFill>
                <a:latin typeface="Arial (Body)"/>
              </a:rPr>
              <a:t> 2017)</a:t>
            </a:r>
            <a:endParaRPr lang="en-US" sz="1600" b="1">
              <a:solidFill>
                <a:schemeClr val="tx1"/>
              </a:solidFill>
              <a:latin typeface="Arial (Body)"/>
            </a:endParaRPr>
          </a:p>
        </c:rich>
      </c:tx>
      <c:overlay val="0"/>
    </c:title>
    <c:autoTitleDeleted val="0"/>
    <c:plotArea>
      <c:layout/>
      <c:lineChart>
        <c:grouping val="standard"/>
        <c:varyColors val="0"/>
        <c:ser>
          <c:idx val="0"/>
          <c:order val="0"/>
          <c:tx>
            <c:strRef>
              <c:f>Sheet1!$B$1</c:f>
              <c:strCache>
                <c:ptCount val="1"/>
                <c:pt idx="0">
                  <c:v>Enhanced</c:v>
                </c:pt>
              </c:strCache>
            </c:strRef>
          </c:tx>
          <c:marker>
            <c:symbol val="none"/>
          </c:marker>
          <c:cat>
            <c:numRef>
              <c:f>Sheet1!$A$2:$A$15</c:f>
              <c:numCache>
                <c:formatCode>mmm\-yy</c:formatCode>
                <c:ptCount val="14"/>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Sheet1!$B$2:$B$15</c:f>
              <c:numCache>
                <c:formatCode>General</c:formatCode>
                <c:ptCount val="14"/>
                <c:pt idx="0">
                  <c:v>226</c:v>
                </c:pt>
                <c:pt idx="1">
                  <c:v>190</c:v>
                </c:pt>
                <c:pt idx="2">
                  <c:v>166</c:v>
                </c:pt>
                <c:pt idx="3">
                  <c:v>135</c:v>
                </c:pt>
                <c:pt idx="4">
                  <c:v>167</c:v>
                </c:pt>
                <c:pt idx="5">
                  <c:v>179</c:v>
                </c:pt>
                <c:pt idx="6">
                  <c:v>133</c:v>
                </c:pt>
                <c:pt idx="7">
                  <c:v>179</c:v>
                </c:pt>
                <c:pt idx="8">
                  <c:v>170</c:v>
                </c:pt>
                <c:pt idx="9">
                  <c:v>152</c:v>
                </c:pt>
                <c:pt idx="10">
                  <c:v>209</c:v>
                </c:pt>
                <c:pt idx="11">
                  <c:v>220</c:v>
                </c:pt>
              </c:numCache>
            </c:numRef>
          </c:val>
          <c:smooth val="0"/>
        </c:ser>
        <c:dLbls>
          <c:showLegendKey val="0"/>
          <c:showVal val="0"/>
          <c:showCatName val="0"/>
          <c:showSerName val="0"/>
          <c:showPercent val="0"/>
          <c:showBubbleSize val="0"/>
        </c:dLbls>
        <c:smooth val="0"/>
        <c:axId val="586626536"/>
        <c:axId val="586626928"/>
      </c:lineChart>
      <c:dateAx>
        <c:axId val="586626536"/>
        <c:scaling>
          <c:orientation val="minMax"/>
        </c:scaling>
        <c:delete val="0"/>
        <c:axPos val="b"/>
        <c:numFmt formatCode="mmm\-yy" sourceLinked="1"/>
        <c:majorTickMark val="out"/>
        <c:minorTickMark val="none"/>
        <c:tickLblPos val="nextTo"/>
        <c:crossAx val="586626928"/>
        <c:crosses val="autoZero"/>
        <c:auto val="1"/>
        <c:lblOffset val="100"/>
        <c:baseTimeUnit val="months"/>
      </c:dateAx>
      <c:valAx>
        <c:axId val="586626928"/>
        <c:scaling>
          <c:orientation val="minMax"/>
        </c:scaling>
        <c:delete val="0"/>
        <c:axPos val="l"/>
        <c:majorGridlines/>
        <c:numFmt formatCode="General" sourceLinked="1"/>
        <c:majorTickMark val="out"/>
        <c:minorTickMark val="none"/>
        <c:tickLblPos val="nextTo"/>
        <c:crossAx val="586626536"/>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Percentage of Closed</a:t>
            </a:r>
            <a:r>
              <a:rPr lang="en-GB" sz="1600" baseline="0"/>
              <a:t> C</a:t>
            </a:r>
            <a:r>
              <a:rPr lang="en-GB" sz="1600"/>
              <a:t>ases Accepting Enhanced</a:t>
            </a:r>
            <a:r>
              <a:rPr lang="en-GB" sz="1600" baseline="0"/>
              <a:t> Support</a:t>
            </a:r>
            <a:endParaRPr lang="en-GB" sz="1600"/>
          </a:p>
        </c:rich>
      </c:tx>
      <c:overlay val="0"/>
    </c:title>
    <c:autoTitleDeleted val="0"/>
    <c:plotArea>
      <c:layout/>
      <c:lineChart>
        <c:grouping val="standard"/>
        <c:varyColors val="0"/>
        <c:ser>
          <c:idx val="0"/>
          <c:order val="0"/>
          <c:tx>
            <c:strRef>
              <c:f>Sheet1!$B$1</c:f>
              <c:strCache>
                <c:ptCount val="1"/>
                <c:pt idx="0">
                  <c:v>Percentage</c:v>
                </c:pt>
              </c:strCache>
            </c:strRef>
          </c:tx>
          <c:marker>
            <c:symbol val="none"/>
          </c:marker>
          <c:cat>
            <c:numRef>
              <c:f>Sheet1!$A$2:$A$13</c:f>
              <c:numCache>
                <c:formatCode>mmm\-yy</c:formatCode>
                <c:ptCount val="12"/>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Sheet1!$B$2:$B$13</c:f>
              <c:numCache>
                <c:formatCode>0.00%</c:formatCode>
                <c:ptCount val="12"/>
                <c:pt idx="0">
                  <c:v>0.187</c:v>
                </c:pt>
                <c:pt idx="1">
                  <c:v>0.154</c:v>
                </c:pt>
                <c:pt idx="2">
                  <c:v>0.16900000000000001</c:v>
                </c:pt>
                <c:pt idx="3">
                  <c:v>0.158</c:v>
                </c:pt>
                <c:pt idx="4">
                  <c:v>0.188</c:v>
                </c:pt>
                <c:pt idx="5">
                  <c:v>0.185</c:v>
                </c:pt>
                <c:pt idx="6">
                  <c:v>0.152</c:v>
                </c:pt>
                <c:pt idx="7">
                  <c:v>0.14099999999999999</c:v>
                </c:pt>
                <c:pt idx="8">
                  <c:v>0.153</c:v>
                </c:pt>
                <c:pt idx="9">
                  <c:v>0.14199999999999999</c:v>
                </c:pt>
                <c:pt idx="10">
                  <c:v>0.16700000000000001</c:v>
                </c:pt>
                <c:pt idx="11" formatCode="0%">
                  <c:v>0.19</c:v>
                </c:pt>
              </c:numCache>
            </c:numRef>
          </c:val>
          <c:smooth val="0"/>
        </c:ser>
        <c:dLbls>
          <c:showLegendKey val="0"/>
          <c:showVal val="0"/>
          <c:showCatName val="0"/>
          <c:showSerName val="0"/>
          <c:showPercent val="0"/>
          <c:showBubbleSize val="0"/>
        </c:dLbls>
        <c:smooth val="0"/>
        <c:axId val="586627712"/>
        <c:axId val="586628104"/>
      </c:lineChart>
      <c:dateAx>
        <c:axId val="586627712"/>
        <c:scaling>
          <c:orientation val="minMax"/>
        </c:scaling>
        <c:delete val="0"/>
        <c:axPos val="b"/>
        <c:numFmt formatCode="mmm\-yy" sourceLinked="1"/>
        <c:majorTickMark val="out"/>
        <c:minorTickMark val="none"/>
        <c:tickLblPos val="nextTo"/>
        <c:crossAx val="586628104"/>
        <c:crosses val="autoZero"/>
        <c:auto val="1"/>
        <c:lblOffset val="100"/>
        <c:baseTimeUnit val="months"/>
      </c:dateAx>
      <c:valAx>
        <c:axId val="586628104"/>
        <c:scaling>
          <c:orientation val="minMax"/>
        </c:scaling>
        <c:delete val="0"/>
        <c:axPos val="l"/>
        <c:majorGridlines/>
        <c:numFmt formatCode="0.00%" sourceLinked="1"/>
        <c:majorTickMark val="out"/>
        <c:minorTickMark val="none"/>
        <c:tickLblPos val="nextTo"/>
        <c:crossAx val="586627712"/>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Referral Sources (Referred In)</a:t>
            </a:r>
          </a:p>
        </c:rich>
      </c:tx>
      <c:layout>
        <c:manualLayout>
          <c:xMode val="edge"/>
          <c:yMode val="edge"/>
          <c:x val="0.36050261780104709"/>
          <c:y val="8.3573060674305057E-3"/>
        </c:manualLayout>
      </c:layout>
      <c:overlay val="1"/>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strCache>
            </c:strRef>
          </c:cat>
          <c:val>
            <c:numRef>
              <c:f>Sheet1!$B$2:$B$14</c:f>
              <c:numCache>
                <c:formatCode>General</c:formatCode>
                <c:ptCount val="13"/>
                <c:pt idx="0">
                  <c:v>181</c:v>
                </c:pt>
                <c:pt idx="1">
                  <c:v>8</c:v>
                </c:pt>
                <c:pt idx="2">
                  <c:v>9</c:v>
                </c:pt>
                <c:pt idx="3">
                  <c:v>7545</c:v>
                </c:pt>
                <c:pt idx="4">
                  <c:v>238</c:v>
                </c:pt>
                <c:pt idx="5">
                  <c:v>37</c:v>
                </c:pt>
                <c:pt idx="6">
                  <c:v>130</c:v>
                </c:pt>
                <c:pt idx="7">
                  <c:v>60</c:v>
                </c:pt>
                <c:pt idx="8">
                  <c:v>136</c:v>
                </c:pt>
                <c:pt idx="9">
                  <c:v>67</c:v>
                </c:pt>
                <c:pt idx="10">
                  <c:v>11</c:v>
                </c:pt>
                <c:pt idx="11">
                  <c:v>32</c:v>
                </c:pt>
                <c:pt idx="12">
                  <c:v>2</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strCache>
            </c:strRef>
          </c:cat>
          <c:val>
            <c:numRef>
              <c:f>Sheet1!$C$2:$C$14</c:f>
              <c:numCache>
                <c:formatCode>General</c:formatCode>
                <c:ptCount val="13"/>
                <c:pt idx="0">
                  <c:v>452</c:v>
                </c:pt>
                <c:pt idx="1">
                  <c:v>16</c:v>
                </c:pt>
                <c:pt idx="2">
                  <c:v>14</c:v>
                </c:pt>
                <c:pt idx="3">
                  <c:v>11972</c:v>
                </c:pt>
                <c:pt idx="4">
                  <c:v>119</c:v>
                </c:pt>
                <c:pt idx="5">
                  <c:v>105</c:v>
                </c:pt>
                <c:pt idx="6">
                  <c:v>120</c:v>
                </c:pt>
                <c:pt idx="7">
                  <c:v>137</c:v>
                </c:pt>
                <c:pt idx="8">
                  <c:v>189</c:v>
                </c:pt>
                <c:pt idx="9">
                  <c:v>112</c:v>
                </c:pt>
                <c:pt idx="10">
                  <c:v>31</c:v>
                </c:pt>
                <c:pt idx="11">
                  <c:v>3</c:v>
                </c:pt>
                <c:pt idx="12">
                  <c:v>0</c:v>
                </c:pt>
              </c:numCache>
            </c:numRef>
          </c:val>
        </c:ser>
        <c:dLbls>
          <c:showLegendKey val="0"/>
          <c:showVal val="1"/>
          <c:showCatName val="0"/>
          <c:showSerName val="0"/>
          <c:showPercent val="0"/>
          <c:showBubbleSize val="0"/>
        </c:dLbls>
        <c:gapWidth val="75"/>
        <c:axId val="586628888"/>
        <c:axId val="586629280"/>
      </c:barChart>
      <c:catAx>
        <c:axId val="58662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29280"/>
        <c:crosses val="autoZero"/>
        <c:auto val="1"/>
        <c:lblAlgn val="ctr"/>
        <c:lblOffset val="100"/>
        <c:noMultiLvlLbl val="0"/>
      </c:catAx>
      <c:valAx>
        <c:axId val="586629280"/>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28888"/>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Crime</a:t>
            </a:r>
            <a:r>
              <a:rPr lang="en-GB" sz="1600" baseline="0"/>
              <a:t> Type</a:t>
            </a:r>
            <a:endParaRPr lang="en-GB" sz="1600"/>
          </a:p>
        </c:rich>
      </c:tx>
      <c:overlay val="0"/>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Sheet1!$A$2:$A$42</c:f>
              <c:strCache>
                <c:ptCount val="41"/>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Domestic Incident</c:v>
                </c:pt>
                <c:pt idx="15">
                  <c:v>Drugs Supply and Production</c:v>
                </c:pt>
                <c:pt idx="16">
                  <c:v>First Harassment </c:v>
                </c:pt>
                <c:pt idx="17">
                  <c:v>Firearms Possession</c:v>
                </c:pt>
                <c:pt idx="18">
                  <c:v>Fraud </c:v>
                </c:pt>
                <c:pt idx="19">
                  <c:v>Harassment </c:v>
                </c:pt>
                <c:pt idx="20">
                  <c:v>Hate Incident</c:v>
                </c:pt>
                <c:pt idx="21">
                  <c:v>Homicide </c:v>
                </c:pt>
                <c:pt idx="22">
                  <c:v>Non Recordable Miscellaneous </c:v>
                </c:pt>
                <c:pt idx="23">
                  <c:v>Public Order </c:v>
                </c:pt>
                <c:pt idx="24">
                  <c:v>Robbery </c:v>
                </c:pt>
                <c:pt idx="25">
                  <c:v>RTC Damage</c:v>
                </c:pt>
                <c:pt idx="26">
                  <c:v>RTC Fatal</c:v>
                </c:pt>
                <c:pt idx="27">
                  <c:v>RTC Serious </c:v>
                </c:pt>
                <c:pt idx="28">
                  <c:v>RTC Slight </c:v>
                </c:pt>
                <c:pt idx="29">
                  <c:v>RTC Life Changing </c:v>
                </c:pt>
                <c:pt idx="30">
                  <c:v>Safeguarding – Adult </c:v>
                </c:pt>
                <c:pt idx="31">
                  <c:v>Safeguarding – Child </c:v>
                </c:pt>
                <c:pt idx="32">
                  <c:v>Sexual Offence Other </c:v>
                </c:pt>
                <c:pt idx="33">
                  <c:v>Sexual Offence – Rape </c:v>
                </c:pt>
                <c:pt idx="34">
                  <c:v>Sudden Death – Adult </c:v>
                </c:pt>
                <c:pt idx="35">
                  <c:v>Theft </c:v>
                </c:pt>
                <c:pt idx="36">
                  <c:v>Threats to Life </c:v>
                </c:pt>
                <c:pt idx="37">
                  <c:v>Traffic Offences </c:v>
                </c:pt>
                <c:pt idx="38">
                  <c:v>Vehicle Crime </c:v>
                </c:pt>
                <c:pt idx="39">
                  <c:v>Weapons Possession </c:v>
                </c:pt>
                <c:pt idx="40">
                  <c:v>Unknown </c:v>
                </c:pt>
              </c:strCache>
            </c:strRef>
          </c:cat>
          <c:val>
            <c:numRef>
              <c:f>Sheet1!$B$2:$B$42</c:f>
              <c:numCache>
                <c:formatCode>General</c:formatCode>
                <c:ptCount val="41"/>
                <c:pt idx="0">
                  <c:v>182</c:v>
                </c:pt>
                <c:pt idx="1">
                  <c:v>11</c:v>
                </c:pt>
                <c:pt idx="2">
                  <c:v>150</c:v>
                </c:pt>
                <c:pt idx="3">
                  <c:v>1306</c:v>
                </c:pt>
                <c:pt idx="4">
                  <c:v>104</c:v>
                </c:pt>
                <c:pt idx="5">
                  <c:v>1</c:v>
                </c:pt>
                <c:pt idx="6">
                  <c:v>191</c:v>
                </c:pt>
                <c:pt idx="7">
                  <c:v>449</c:v>
                </c:pt>
                <c:pt idx="8">
                  <c:v>30</c:v>
                </c:pt>
                <c:pt idx="9">
                  <c:v>1</c:v>
                </c:pt>
                <c:pt idx="10">
                  <c:v>10</c:v>
                </c:pt>
                <c:pt idx="11">
                  <c:v>495</c:v>
                </c:pt>
                <c:pt idx="12">
                  <c:v>14</c:v>
                </c:pt>
                <c:pt idx="13">
                  <c:v>0</c:v>
                </c:pt>
                <c:pt idx="14">
                  <c:v>286</c:v>
                </c:pt>
                <c:pt idx="15">
                  <c:v>0</c:v>
                </c:pt>
                <c:pt idx="16">
                  <c:v>24</c:v>
                </c:pt>
                <c:pt idx="17">
                  <c:v>1</c:v>
                </c:pt>
                <c:pt idx="18">
                  <c:v>78</c:v>
                </c:pt>
                <c:pt idx="19">
                  <c:v>325</c:v>
                </c:pt>
                <c:pt idx="20">
                  <c:v>34</c:v>
                </c:pt>
                <c:pt idx="21">
                  <c:v>3</c:v>
                </c:pt>
                <c:pt idx="22">
                  <c:v>16</c:v>
                </c:pt>
                <c:pt idx="23">
                  <c:v>168</c:v>
                </c:pt>
                <c:pt idx="24">
                  <c:v>97</c:v>
                </c:pt>
                <c:pt idx="25">
                  <c:v>2</c:v>
                </c:pt>
                <c:pt idx="26">
                  <c:v>6</c:v>
                </c:pt>
                <c:pt idx="27">
                  <c:v>2</c:v>
                </c:pt>
                <c:pt idx="28">
                  <c:v>219</c:v>
                </c:pt>
                <c:pt idx="29">
                  <c:v>2</c:v>
                </c:pt>
                <c:pt idx="30">
                  <c:v>2</c:v>
                </c:pt>
                <c:pt idx="31">
                  <c:v>5</c:v>
                </c:pt>
                <c:pt idx="32">
                  <c:v>138</c:v>
                </c:pt>
                <c:pt idx="33">
                  <c:v>88</c:v>
                </c:pt>
                <c:pt idx="34">
                  <c:v>4</c:v>
                </c:pt>
                <c:pt idx="35">
                  <c:v>534</c:v>
                </c:pt>
                <c:pt idx="36">
                  <c:v>68</c:v>
                </c:pt>
                <c:pt idx="37">
                  <c:v>3</c:v>
                </c:pt>
                <c:pt idx="38">
                  <c:v>251</c:v>
                </c:pt>
                <c:pt idx="39">
                  <c:v>12</c:v>
                </c:pt>
                <c:pt idx="40">
                  <c:v>542</c:v>
                </c:pt>
              </c:numCache>
            </c:numRef>
          </c:val>
        </c:ser>
        <c:ser>
          <c:idx val="1"/>
          <c:order val="1"/>
          <c:tx>
            <c:strRef>
              <c:f>Sheet1!$C$1</c:f>
              <c:strCache>
                <c:ptCount val="1"/>
                <c:pt idx="0">
                  <c:v>2016-2017</c:v>
                </c:pt>
              </c:strCache>
            </c:strRef>
          </c:tx>
          <c:spPr>
            <a:ln w="28575" cap="rnd">
              <a:solidFill>
                <a:schemeClr val="accent2"/>
              </a:solidFill>
              <a:round/>
            </a:ln>
            <a:effectLst/>
          </c:spPr>
          <c:invertIfNegative val="0"/>
          <c:cat>
            <c:strRef>
              <c:f>Sheet1!$A$2:$A$42</c:f>
              <c:strCache>
                <c:ptCount val="41"/>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Domestic Incident</c:v>
                </c:pt>
                <c:pt idx="15">
                  <c:v>Drugs Supply and Production</c:v>
                </c:pt>
                <c:pt idx="16">
                  <c:v>First Harassment </c:v>
                </c:pt>
                <c:pt idx="17">
                  <c:v>Firearms Possession</c:v>
                </c:pt>
                <c:pt idx="18">
                  <c:v>Fraud </c:v>
                </c:pt>
                <c:pt idx="19">
                  <c:v>Harassment </c:v>
                </c:pt>
                <c:pt idx="20">
                  <c:v>Hate Incident</c:v>
                </c:pt>
                <c:pt idx="21">
                  <c:v>Homicide </c:v>
                </c:pt>
                <c:pt idx="22">
                  <c:v>Non Recordable Miscellaneous </c:v>
                </c:pt>
                <c:pt idx="23">
                  <c:v>Public Order </c:v>
                </c:pt>
                <c:pt idx="24">
                  <c:v>Robbery </c:v>
                </c:pt>
                <c:pt idx="25">
                  <c:v>RTC Damage</c:v>
                </c:pt>
                <c:pt idx="26">
                  <c:v>RTC Fatal</c:v>
                </c:pt>
                <c:pt idx="27">
                  <c:v>RTC Serious </c:v>
                </c:pt>
                <c:pt idx="28">
                  <c:v>RTC Slight </c:v>
                </c:pt>
                <c:pt idx="29">
                  <c:v>RTC Life Changing </c:v>
                </c:pt>
                <c:pt idx="30">
                  <c:v>Safeguarding – Adult </c:v>
                </c:pt>
                <c:pt idx="31">
                  <c:v>Safeguarding – Child </c:v>
                </c:pt>
                <c:pt idx="32">
                  <c:v>Sexual Offence Other </c:v>
                </c:pt>
                <c:pt idx="33">
                  <c:v>Sexual Offence – Rape </c:v>
                </c:pt>
                <c:pt idx="34">
                  <c:v>Sudden Death – Adult </c:v>
                </c:pt>
                <c:pt idx="35">
                  <c:v>Theft </c:v>
                </c:pt>
                <c:pt idx="36">
                  <c:v>Threats to Life </c:v>
                </c:pt>
                <c:pt idx="37">
                  <c:v>Traffic Offences </c:v>
                </c:pt>
                <c:pt idx="38">
                  <c:v>Vehicle Crime </c:v>
                </c:pt>
                <c:pt idx="39">
                  <c:v>Weapons Possession </c:v>
                </c:pt>
                <c:pt idx="40">
                  <c:v>Unknown </c:v>
                </c:pt>
              </c:strCache>
            </c:strRef>
          </c:cat>
          <c:val>
            <c:numRef>
              <c:f>Sheet1!$C$2:$C$42</c:f>
              <c:numCache>
                <c:formatCode>General</c:formatCode>
                <c:ptCount val="41"/>
                <c:pt idx="0">
                  <c:v>505</c:v>
                </c:pt>
                <c:pt idx="1">
                  <c:v>5</c:v>
                </c:pt>
                <c:pt idx="2">
                  <c:v>175</c:v>
                </c:pt>
                <c:pt idx="3" formatCode="#,##0">
                  <c:v>3642</c:v>
                </c:pt>
                <c:pt idx="4">
                  <c:v>323</c:v>
                </c:pt>
                <c:pt idx="5">
                  <c:v>3</c:v>
                </c:pt>
                <c:pt idx="6">
                  <c:v>278</c:v>
                </c:pt>
                <c:pt idx="7" formatCode="#,##0">
                  <c:v>1752</c:v>
                </c:pt>
                <c:pt idx="8">
                  <c:v>7</c:v>
                </c:pt>
                <c:pt idx="9">
                  <c:v>1</c:v>
                </c:pt>
                <c:pt idx="10">
                  <c:v>145</c:v>
                </c:pt>
                <c:pt idx="11" formatCode="#,##0">
                  <c:v>1269</c:v>
                </c:pt>
                <c:pt idx="12">
                  <c:v>54</c:v>
                </c:pt>
                <c:pt idx="13">
                  <c:v>1</c:v>
                </c:pt>
                <c:pt idx="14">
                  <c:v>153</c:v>
                </c:pt>
                <c:pt idx="15">
                  <c:v>5</c:v>
                </c:pt>
                <c:pt idx="16">
                  <c:v>4</c:v>
                </c:pt>
                <c:pt idx="17">
                  <c:v>3</c:v>
                </c:pt>
                <c:pt idx="18">
                  <c:v>24</c:v>
                </c:pt>
                <c:pt idx="19">
                  <c:v>896</c:v>
                </c:pt>
                <c:pt idx="20">
                  <c:v>25</c:v>
                </c:pt>
                <c:pt idx="21">
                  <c:v>3</c:v>
                </c:pt>
                <c:pt idx="22">
                  <c:v>8</c:v>
                </c:pt>
                <c:pt idx="23">
                  <c:v>398</c:v>
                </c:pt>
                <c:pt idx="24">
                  <c:v>288</c:v>
                </c:pt>
                <c:pt idx="25">
                  <c:v>0</c:v>
                </c:pt>
                <c:pt idx="26">
                  <c:v>0</c:v>
                </c:pt>
                <c:pt idx="27">
                  <c:v>5</c:v>
                </c:pt>
                <c:pt idx="28">
                  <c:v>154</c:v>
                </c:pt>
                <c:pt idx="29">
                  <c:v>2</c:v>
                </c:pt>
                <c:pt idx="30">
                  <c:v>3</c:v>
                </c:pt>
                <c:pt idx="31">
                  <c:v>3</c:v>
                </c:pt>
                <c:pt idx="32">
                  <c:v>430</c:v>
                </c:pt>
                <c:pt idx="33">
                  <c:v>333</c:v>
                </c:pt>
                <c:pt idx="34">
                  <c:v>1</c:v>
                </c:pt>
                <c:pt idx="35">
                  <c:v>942</c:v>
                </c:pt>
                <c:pt idx="36">
                  <c:v>68</c:v>
                </c:pt>
                <c:pt idx="37">
                  <c:v>4</c:v>
                </c:pt>
                <c:pt idx="38">
                  <c:v>684</c:v>
                </c:pt>
                <c:pt idx="39">
                  <c:v>27</c:v>
                </c:pt>
                <c:pt idx="40">
                  <c:v>191</c:v>
                </c:pt>
              </c:numCache>
            </c:numRef>
          </c:val>
        </c:ser>
        <c:dLbls>
          <c:showLegendKey val="0"/>
          <c:showVal val="0"/>
          <c:showCatName val="0"/>
          <c:showSerName val="0"/>
          <c:showPercent val="0"/>
          <c:showBubbleSize val="0"/>
        </c:dLbls>
        <c:gapWidth val="150"/>
        <c:axId val="586630064"/>
        <c:axId val="586630456"/>
      </c:barChart>
      <c:catAx>
        <c:axId val="58663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0456"/>
        <c:crosses val="autoZero"/>
        <c:auto val="1"/>
        <c:lblAlgn val="ctr"/>
        <c:lblOffset val="100"/>
        <c:noMultiLvlLbl val="0"/>
      </c:catAx>
      <c:valAx>
        <c:axId val="58663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0064"/>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Gender</a:t>
            </a:r>
          </a:p>
        </c:rich>
      </c:tx>
      <c:overlay val="1"/>
    </c:title>
    <c:autoTitleDeleted val="0"/>
    <c:plotArea>
      <c:layout>
        <c:manualLayout>
          <c:layoutTarget val="inner"/>
          <c:xMode val="edge"/>
          <c:yMode val="edge"/>
          <c:x val="4.5389758378968061E-2"/>
          <c:y val="2.3206751054852322E-2"/>
          <c:w val="0.93540585204627202"/>
          <c:h val="0.85005614804478558"/>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Sheet1!$B$2:$B$8</c:f>
              <c:numCache>
                <c:formatCode>General</c:formatCode>
                <c:ptCount val="7"/>
                <c:pt idx="0">
                  <c:v>1010</c:v>
                </c:pt>
                <c:pt idx="1">
                  <c:v>502</c:v>
                </c:pt>
                <c:pt idx="2">
                  <c:v>0</c:v>
                </c:pt>
                <c:pt idx="3">
                  <c:v>0</c:v>
                </c:pt>
                <c:pt idx="4">
                  <c:v>0</c:v>
                </c:pt>
                <c:pt idx="5">
                  <c:v>2</c:v>
                </c:pt>
                <c:pt idx="6">
                  <c:v>26</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Sheet1!$C$2:$C$8</c:f>
              <c:numCache>
                <c:formatCode>General</c:formatCode>
                <c:ptCount val="7"/>
                <c:pt idx="0">
                  <c:v>1289</c:v>
                </c:pt>
                <c:pt idx="1">
                  <c:v>758</c:v>
                </c:pt>
                <c:pt idx="2">
                  <c:v>0</c:v>
                </c:pt>
                <c:pt idx="3">
                  <c:v>0</c:v>
                </c:pt>
                <c:pt idx="4">
                  <c:v>0</c:v>
                </c:pt>
                <c:pt idx="5">
                  <c:v>0</c:v>
                </c:pt>
                <c:pt idx="6">
                  <c:v>7</c:v>
                </c:pt>
              </c:numCache>
            </c:numRef>
          </c:val>
        </c:ser>
        <c:dLbls>
          <c:showLegendKey val="0"/>
          <c:showVal val="1"/>
          <c:showCatName val="0"/>
          <c:showSerName val="0"/>
          <c:showPercent val="0"/>
          <c:showBubbleSize val="0"/>
        </c:dLbls>
        <c:gapWidth val="75"/>
        <c:axId val="586631240"/>
        <c:axId val="586631632"/>
      </c:barChart>
      <c:catAx>
        <c:axId val="58663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1632"/>
        <c:crosses val="autoZero"/>
        <c:auto val="1"/>
        <c:lblAlgn val="ctr"/>
        <c:lblOffset val="100"/>
        <c:noMultiLvlLbl val="0"/>
      </c:catAx>
      <c:valAx>
        <c:axId val="586631632"/>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Age</a:t>
            </a:r>
          </a:p>
        </c:rich>
      </c:tx>
      <c:overlay val="1"/>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20</c:v>
                </c:pt>
                <c:pt idx="1">
                  <c:v>110</c:v>
                </c:pt>
                <c:pt idx="2">
                  <c:v>216</c:v>
                </c:pt>
                <c:pt idx="3">
                  <c:v>148</c:v>
                </c:pt>
                <c:pt idx="4">
                  <c:v>315</c:v>
                </c:pt>
                <c:pt idx="5">
                  <c:v>245</c:v>
                </c:pt>
                <c:pt idx="6">
                  <c:v>170</c:v>
                </c:pt>
                <c:pt idx="7">
                  <c:v>113</c:v>
                </c:pt>
                <c:pt idx="8">
                  <c:v>65</c:v>
                </c:pt>
                <c:pt idx="9">
                  <c:v>32</c:v>
                </c:pt>
                <c:pt idx="10">
                  <c:v>5</c:v>
                </c:pt>
                <c:pt idx="11">
                  <c:v>101</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36</c:v>
                </c:pt>
                <c:pt idx="1">
                  <c:v>115</c:v>
                </c:pt>
                <c:pt idx="2">
                  <c:v>291</c:v>
                </c:pt>
                <c:pt idx="3">
                  <c:v>226</c:v>
                </c:pt>
                <c:pt idx="4">
                  <c:v>427</c:v>
                </c:pt>
                <c:pt idx="5">
                  <c:v>392</c:v>
                </c:pt>
                <c:pt idx="6">
                  <c:v>255</c:v>
                </c:pt>
                <c:pt idx="7">
                  <c:v>158</c:v>
                </c:pt>
                <c:pt idx="8">
                  <c:v>84</c:v>
                </c:pt>
                <c:pt idx="9">
                  <c:v>34</c:v>
                </c:pt>
                <c:pt idx="10">
                  <c:v>12</c:v>
                </c:pt>
                <c:pt idx="11">
                  <c:v>24</c:v>
                </c:pt>
              </c:numCache>
            </c:numRef>
          </c:val>
        </c:ser>
        <c:dLbls>
          <c:showLegendKey val="0"/>
          <c:showVal val="1"/>
          <c:showCatName val="0"/>
          <c:showSerName val="0"/>
          <c:showPercent val="0"/>
          <c:showBubbleSize val="0"/>
        </c:dLbls>
        <c:gapWidth val="75"/>
        <c:axId val="586632416"/>
        <c:axId val="586632808"/>
      </c:barChart>
      <c:catAx>
        <c:axId val="58663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2808"/>
        <c:crosses val="autoZero"/>
        <c:auto val="1"/>
        <c:lblAlgn val="ctr"/>
        <c:lblOffset val="100"/>
        <c:noMultiLvlLbl val="0"/>
      </c:catAx>
      <c:valAx>
        <c:axId val="586632808"/>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Ethnicity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273</c:v>
                </c:pt>
                <c:pt idx="1">
                  <c:v>0</c:v>
                </c:pt>
                <c:pt idx="2">
                  <c:v>0</c:v>
                </c:pt>
                <c:pt idx="3">
                  <c:v>152</c:v>
                </c:pt>
                <c:pt idx="4">
                  <c:v>4</c:v>
                </c:pt>
                <c:pt idx="5">
                  <c:v>3</c:v>
                </c:pt>
                <c:pt idx="6">
                  <c:v>2</c:v>
                </c:pt>
                <c:pt idx="7">
                  <c:v>67</c:v>
                </c:pt>
                <c:pt idx="8">
                  <c:v>3</c:v>
                </c:pt>
                <c:pt idx="9">
                  <c:v>1</c:v>
                </c:pt>
                <c:pt idx="10">
                  <c:v>3</c:v>
                </c:pt>
                <c:pt idx="11">
                  <c:v>48</c:v>
                </c:pt>
                <c:pt idx="12">
                  <c:v>5</c:v>
                </c:pt>
                <c:pt idx="13">
                  <c:v>10</c:v>
                </c:pt>
                <c:pt idx="14">
                  <c:v>10</c:v>
                </c:pt>
                <c:pt idx="15">
                  <c:v>10</c:v>
                </c:pt>
                <c:pt idx="16">
                  <c:v>7</c:v>
                </c:pt>
                <c:pt idx="17">
                  <c:v>22</c:v>
                </c:pt>
                <c:pt idx="18">
                  <c:v>892</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1052</c:v>
                </c:pt>
                <c:pt idx="1">
                  <c:v>7</c:v>
                </c:pt>
                <c:pt idx="2">
                  <c:v>0</c:v>
                </c:pt>
                <c:pt idx="3">
                  <c:v>61</c:v>
                </c:pt>
                <c:pt idx="4">
                  <c:v>7</c:v>
                </c:pt>
                <c:pt idx="5">
                  <c:v>16</c:v>
                </c:pt>
                <c:pt idx="6">
                  <c:v>5</c:v>
                </c:pt>
                <c:pt idx="7">
                  <c:v>255</c:v>
                </c:pt>
                <c:pt idx="8">
                  <c:v>23</c:v>
                </c:pt>
                <c:pt idx="9">
                  <c:v>6</c:v>
                </c:pt>
                <c:pt idx="10">
                  <c:v>5</c:v>
                </c:pt>
                <c:pt idx="11">
                  <c:v>21</c:v>
                </c:pt>
                <c:pt idx="12">
                  <c:v>13</c:v>
                </c:pt>
                <c:pt idx="13">
                  <c:v>42</c:v>
                </c:pt>
                <c:pt idx="14">
                  <c:v>5</c:v>
                </c:pt>
                <c:pt idx="15">
                  <c:v>13</c:v>
                </c:pt>
                <c:pt idx="16">
                  <c:v>16</c:v>
                </c:pt>
                <c:pt idx="17">
                  <c:v>34</c:v>
                </c:pt>
                <c:pt idx="18">
                  <c:v>474</c:v>
                </c:pt>
              </c:numCache>
            </c:numRef>
          </c:val>
        </c:ser>
        <c:dLbls>
          <c:showLegendKey val="0"/>
          <c:showVal val="1"/>
          <c:showCatName val="0"/>
          <c:showSerName val="0"/>
          <c:showPercent val="0"/>
          <c:showBubbleSize val="0"/>
        </c:dLbls>
        <c:gapWidth val="150"/>
        <c:overlap val="-25"/>
        <c:axId val="586633592"/>
        <c:axId val="586633984"/>
      </c:barChart>
      <c:catAx>
        <c:axId val="58663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3984"/>
        <c:crosses val="autoZero"/>
        <c:auto val="1"/>
        <c:lblAlgn val="ctr"/>
        <c:lblOffset val="100"/>
        <c:noMultiLvlLbl val="0"/>
      </c:catAx>
      <c:valAx>
        <c:axId val="586633984"/>
        <c:scaling>
          <c:orientation val="minMax"/>
        </c:scaling>
        <c:delete val="1"/>
        <c:axPos val="l"/>
        <c:numFmt formatCode="General" sourceLinked="1"/>
        <c:majorTickMark val="none"/>
        <c:minorTickMark val="none"/>
        <c:tickLblPos val="nextTo"/>
        <c:crossAx val="586633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Disabilites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Sheet1!$B$2:$B$13</c:f>
              <c:numCache>
                <c:formatCode>General</c:formatCode>
                <c:ptCount val="12"/>
                <c:pt idx="0">
                  <c:v>15</c:v>
                </c:pt>
                <c:pt idx="1">
                  <c:v>0</c:v>
                </c:pt>
                <c:pt idx="2">
                  <c:v>3</c:v>
                </c:pt>
                <c:pt idx="3">
                  <c:v>14</c:v>
                </c:pt>
                <c:pt idx="4">
                  <c:v>1</c:v>
                </c:pt>
                <c:pt idx="5">
                  <c:v>27</c:v>
                </c:pt>
                <c:pt idx="6">
                  <c:v>13</c:v>
                </c:pt>
                <c:pt idx="7">
                  <c:v>24</c:v>
                </c:pt>
                <c:pt idx="8">
                  <c:v>43</c:v>
                </c:pt>
                <c:pt idx="9">
                  <c:v>316</c:v>
                </c:pt>
                <c:pt idx="10">
                  <c:v>1031</c:v>
                </c:pt>
                <c:pt idx="11">
                  <c:v>53</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Sheet1!$C$2:$C$13</c:f>
              <c:numCache>
                <c:formatCode>General</c:formatCode>
                <c:ptCount val="12"/>
                <c:pt idx="0">
                  <c:v>36</c:v>
                </c:pt>
                <c:pt idx="1">
                  <c:v>9</c:v>
                </c:pt>
                <c:pt idx="2">
                  <c:v>12</c:v>
                </c:pt>
                <c:pt idx="3">
                  <c:v>65</c:v>
                </c:pt>
                <c:pt idx="4">
                  <c:v>13</c:v>
                </c:pt>
                <c:pt idx="5">
                  <c:v>135</c:v>
                </c:pt>
                <c:pt idx="6">
                  <c:v>73</c:v>
                </c:pt>
                <c:pt idx="7">
                  <c:v>101</c:v>
                </c:pt>
                <c:pt idx="8">
                  <c:v>29</c:v>
                </c:pt>
                <c:pt idx="9">
                  <c:v>1044</c:v>
                </c:pt>
                <c:pt idx="10">
                  <c:v>537</c:v>
                </c:pt>
                <c:pt idx="11">
                  <c:v>0</c:v>
                </c:pt>
              </c:numCache>
            </c:numRef>
          </c:val>
        </c:ser>
        <c:dLbls>
          <c:showLegendKey val="0"/>
          <c:showVal val="1"/>
          <c:showCatName val="0"/>
          <c:showSerName val="0"/>
          <c:showPercent val="0"/>
          <c:showBubbleSize val="0"/>
        </c:dLbls>
        <c:gapWidth val="150"/>
        <c:overlap val="-25"/>
        <c:axId val="586634768"/>
        <c:axId val="586635160"/>
      </c:barChart>
      <c:catAx>
        <c:axId val="58663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5160"/>
        <c:crosses val="autoZero"/>
        <c:auto val="1"/>
        <c:lblAlgn val="ctr"/>
        <c:lblOffset val="100"/>
        <c:noMultiLvlLbl val="0"/>
      </c:catAx>
      <c:valAx>
        <c:axId val="586635160"/>
        <c:scaling>
          <c:orientation val="minMax"/>
        </c:scaling>
        <c:delete val="1"/>
        <c:axPos val="l"/>
        <c:numFmt formatCode="General" sourceLinked="1"/>
        <c:majorTickMark val="none"/>
        <c:minorTickMark val="none"/>
        <c:tickLblPos val="nextTo"/>
        <c:crossAx val="5866347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Religion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Sheet1!$B$2:$B$11</c:f>
              <c:numCache>
                <c:formatCode>General</c:formatCode>
                <c:ptCount val="10"/>
                <c:pt idx="0">
                  <c:v>118</c:v>
                </c:pt>
                <c:pt idx="1">
                  <c:v>0</c:v>
                </c:pt>
                <c:pt idx="2">
                  <c:v>40</c:v>
                </c:pt>
                <c:pt idx="3">
                  <c:v>1</c:v>
                </c:pt>
                <c:pt idx="4">
                  <c:v>42</c:v>
                </c:pt>
                <c:pt idx="5">
                  <c:v>17</c:v>
                </c:pt>
                <c:pt idx="6">
                  <c:v>11</c:v>
                </c:pt>
                <c:pt idx="7">
                  <c:v>257</c:v>
                </c:pt>
                <c:pt idx="8">
                  <c:v>67</c:v>
                </c:pt>
                <c:pt idx="9">
                  <c:v>987</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Sheet1!$C$2:$C$11</c:f>
              <c:numCache>
                <c:formatCode>General</c:formatCode>
                <c:ptCount val="10"/>
                <c:pt idx="0">
                  <c:v>410</c:v>
                </c:pt>
                <c:pt idx="1">
                  <c:v>5</c:v>
                </c:pt>
                <c:pt idx="2">
                  <c:v>104</c:v>
                </c:pt>
                <c:pt idx="3">
                  <c:v>1</c:v>
                </c:pt>
                <c:pt idx="4">
                  <c:v>123</c:v>
                </c:pt>
                <c:pt idx="5">
                  <c:v>53</c:v>
                </c:pt>
                <c:pt idx="6">
                  <c:v>19</c:v>
                </c:pt>
                <c:pt idx="7">
                  <c:v>507</c:v>
                </c:pt>
                <c:pt idx="8">
                  <c:v>64</c:v>
                </c:pt>
                <c:pt idx="9">
                  <c:v>759</c:v>
                </c:pt>
              </c:numCache>
            </c:numRef>
          </c:val>
        </c:ser>
        <c:dLbls>
          <c:showLegendKey val="0"/>
          <c:showVal val="1"/>
          <c:showCatName val="0"/>
          <c:showSerName val="0"/>
          <c:showPercent val="0"/>
          <c:showBubbleSize val="0"/>
        </c:dLbls>
        <c:gapWidth val="150"/>
        <c:overlap val="-25"/>
        <c:axId val="586635944"/>
        <c:axId val="586636336"/>
      </c:barChart>
      <c:catAx>
        <c:axId val="58663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636336"/>
        <c:crosses val="autoZero"/>
        <c:auto val="1"/>
        <c:lblAlgn val="ctr"/>
        <c:lblOffset val="100"/>
        <c:noMultiLvlLbl val="0"/>
      </c:catAx>
      <c:valAx>
        <c:axId val="586636336"/>
        <c:scaling>
          <c:orientation val="minMax"/>
        </c:scaling>
        <c:delete val="1"/>
        <c:axPos val="l"/>
        <c:numFmt formatCode="General" sourceLinked="1"/>
        <c:majorTickMark val="none"/>
        <c:minorTickMark val="none"/>
        <c:tickLblPos val="nextTo"/>
        <c:crossAx val="586635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Occurence Types of Cases Closed between</a:t>
            </a:r>
            <a:r>
              <a:rPr lang="en-GB" baseline="0"/>
              <a:t> September 2016 and October 2017</a:t>
            </a: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Closed </c:v>
                </c:pt>
              </c:strCache>
            </c:strRef>
          </c:tx>
          <c:spPr>
            <a:solidFill>
              <a:schemeClr val="accent6"/>
            </a:solidFill>
            <a:ln>
              <a:noFill/>
            </a:ln>
            <a:effectLst/>
          </c:spPr>
          <c:invertIfNegative val="0"/>
          <c:cat>
            <c:strRef>
              <c:f>Sheet1!$A$2:$A$40</c:f>
              <c:strCache>
                <c:ptCount val="39"/>
                <c:pt idx="0">
                  <c:v>Action Fraud NFIB </c:v>
                </c:pt>
                <c:pt idx="1">
                  <c:v>Action Fraud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Domestic Incident</c:v>
                </c:pt>
                <c:pt idx="15">
                  <c:v>Drugs Supply and Production</c:v>
                </c:pt>
                <c:pt idx="16">
                  <c:v>First Harassment </c:v>
                </c:pt>
                <c:pt idx="17">
                  <c:v>Firearms Possession</c:v>
                </c:pt>
                <c:pt idx="18">
                  <c:v>Fraud </c:v>
                </c:pt>
                <c:pt idx="19">
                  <c:v>Harassment </c:v>
                </c:pt>
                <c:pt idx="20">
                  <c:v>Hate Incident</c:v>
                </c:pt>
                <c:pt idx="21">
                  <c:v>Homicide </c:v>
                </c:pt>
                <c:pt idx="22">
                  <c:v>Non Recordable Miscellaneous </c:v>
                </c:pt>
                <c:pt idx="23">
                  <c:v>Public Order </c:v>
                </c:pt>
                <c:pt idx="24">
                  <c:v>Robbery </c:v>
                </c:pt>
                <c:pt idx="25">
                  <c:v>RTC Serious </c:v>
                </c:pt>
                <c:pt idx="26">
                  <c:v>RTC Slight </c:v>
                </c:pt>
                <c:pt idx="27">
                  <c:v>RTC Life Changing </c:v>
                </c:pt>
                <c:pt idx="28">
                  <c:v>Safeguarding – Adult </c:v>
                </c:pt>
                <c:pt idx="29">
                  <c:v>Safeguarding – Child </c:v>
                </c:pt>
                <c:pt idx="30">
                  <c:v>Sexual Offence Other </c:v>
                </c:pt>
                <c:pt idx="31">
                  <c:v>Sexual Offence – Rape </c:v>
                </c:pt>
                <c:pt idx="32">
                  <c:v>Sudden Death – Adult </c:v>
                </c:pt>
                <c:pt idx="33">
                  <c:v>Theft </c:v>
                </c:pt>
                <c:pt idx="34">
                  <c:v>Threats to Life </c:v>
                </c:pt>
                <c:pt idx="35">
                  <c:v>Traffic Offences </c:v>
                </c:pt>
                <c:pt idx="36">
                  <c:v>Vehicle Crime </c:v>
                </c:pt>
                <c:pt idx="37">
                  <c:v>Weapons Possession </c:v>
                </c:pt>
                <c:pt idx="38">
                  <c:v>Unknown </c:v>
                </c:pt>
              </c:strCache>
            </c:strRef>
          </c:cat>
          <c:val>
            <c:numRef>
              <c:f>Sheet1!$B$2:$B$40</c:f>
              <c:numCache>
                <c:formatCode>General</c:formatCode>
                <c:ptCount val="39"/>
                <c:pt idx="0">
                  <c:v>505</c:v>
                </c:pt>
                <c:pt idx="1">
                  <c:v>5</c:v>
                </c:pt>
                <c:pt idx="2">
                  <c:v>175</c:v>
                </c:pt>
                <c:pt idx="3" formatCode="#,##0">
                  <c:v>3642</c:v>
                </c:pt>
                <c:pt idx="4">
                  <c:v>323</c:v>
                </c:pt>
                <c:pt idx="5">
                  <c:v>3</c:v>
                </c:pt>
                <c:pt idx="6">
                  <c:v>278</c:v>
                </c:pt>
                <c:pt idx="7" formatCode="#,##0">
                  <c:v>1752</c:v>
                </c:pt>
                <c:pt idx="8">
                  <c:v>7</c:v>
                </c:pt>
                <c:pt idx="9">
                  <c:v>1</c:v>
                </c:pt>
                <c:pt idx="10">
                  <c:v>145</c:v>
                </c:pt>
                <c:pt idx="11" formatCode="#,##0">
                  <c:v>1269</c:v>
                </c:pt>
                <c:pt idx="12">
                  <c:v>54</c:v>
                </c:pt>
                <c:pt idx="13">
                  <c:v>1</c:v>
                </c:pt>
                <c:pt idx="14">
                  <c:v>153</c:v>
                </c:pt>
                <c:pt idx="15">
                  <c:v>5</c:v>
                </c:pt>
                <c:pt idx="16">
                  <c:v>4</c:v>
                </c:pt>
                <c:pt idx="17">
                  <c:v>3</c:v>
                </c:pt>
                <c:pt idx="18">
                  <c:v>24</c:v>
                </c:pt>
                <c:pt idx="19">
                  <c:v>896</c:v>
                </c:pt>
                <c:pt idx="20">
                  <c:v>25</c:v>
                </c:pt>
                <c:pt idx="21">
                  <c:v>3</c:v>
                </c:pt>
                <c:pt idx="22">
                  <c:v>8</c:v>
                </c:pt>
                <c:pt idx="23">
                  <c:v>398</c:v>
                </c:pt>
                <c:pt idx="24">
                  <c:v>288</c:v>
                </c:pt>
                <c:pt idx="25">
                  <c:v>5</c:v>
                </c:pt>
                <c:pt idx="26">
                  <c:v>154</c:v>
                </c:pt>
                <c:pt idx="27">
                  <c:v>2</c:v>
                </c:pt>
                <c:pt idx="28">
                  <c:v>3</c:v>
                </c:pt>
                <c:pt idx="29">
                  <c:v>3</c:v>
                </c:pt>
                <c:pt idx="30">
                  <c:v>430</c:v>
                </c:pt>
                <c:pt idx="31">
                  <c:v>333</c:v>
                </c:pt>
                <c:pt idx="32">
                  <c:v>1</c:v>
                </c:pt>
                <c:pt idx="33">
                  <c:v>942</c:v>
                </c:pt>
                <c:pt idx="34">
                  <c:v>68</c:v>
                </c:pt>
                <c:pt idx="35">
                  <c:v>4</c:v>
                </c:pt>
                <c:pt idx="36">
                  <c:v>684</c:v>
                </c:pt>
                <c:pt idx="37">
                  <c:v>27</c:v>
                </c:pt>
                <c:pt idx="38">
                  <c:v>191</c:v>
                </c:pt>
              </c:numCache>
            </c:numRef>
          </c:val>
        </c:ser>
        <c:ser>
          <c:idx val="1"/>
          <c:order val="1"/>
          <c:tx>
            <c:strRef>
              <c:f>Sheet1!$C$1</c:f>
              <c:strCache>
                <c:ptCount val="1"/>
                <c:pt idx="0">
                  <c:v>Received Enhanced Support </c:v>
                </c:pt>
              </c:strCache>
            </c:strRef>
          </c:tx>
          <c:spPr>
            <a:solidFill>
              <a:schemeClr val="accent5"/>
            </a:solidFill>
            <a:ln>
              <a:noFill/>
            </a:ln>
            <a:effectLst/>
          </c:spPr>
          <c:invertIfNegative val="0"/>
          <c:cat>
            <c:strRef>
              <c:f>Sheet1!$A$2:$A$40</c:f>
              <c:strCache>
                <c:ptCount val="39"/>
                <c:pt idx="0">
                  <c:v>Action Fraud NFIB </c:v>
                </c:pt>
                <c:pt idx="1">
                  <c:v>Action Fraud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Domestic Incident</c:v>
                </c:pt>
                <c:pt idx="15">
                  <c:v>Drugs Supply and Production</c:v>
                </c:pt>
                <c:pt idx="16">
                  <c:v>First Harassment </c:v>
                </c:pt>
                <c:pt idx="17">
                  <c:v>Firearms Possession</c:v>
                </c:pt>
                <c:pt idx="18">
                  <c:v>Fraud </c:v>
                </c:pt>
                <c:pt idx="19">
                  <c:v>Harassment </c:v>
                </c:pt>
                <c:pt idx="20">
                  <c:v>Hate Incident</c:v>
                </c:pt>
                <c:pt idx="21">
                  <c:v>Homicide </c:v>
                </c:pt>
                <c:pt idx="22">
                  <c:v>Non Recordable Miscellaneous </c:v>
                </c:pt>
                <c:pt idx="23">
                  <c:v>Public Order </c:v>
                </c:pt>
                <c:pt idx="24">
                  <c:v>Robbery </c:v>
                </c:pt>
                <c:pt idx="25">
                  <c:v>RTC Serious </c:v>
                </c:pt>
                <c:pt idx="26">
                  <c:v>RTC Slight </c:v>
                </c:pt>
                <c:pt idx="27">
                  <c:v>RTC Life Changing </c:v>
                </c:pt>
                <c:pt idx="28">
                  <c:v>Safeguarding – Adult </c:v>
                </c:pt>
                <c:pt idx="29">
                  <c:v>Safeguarding – Child </c:v>
                </c:pt>
                <c:pt idx="30">
                  <c:v>Sexual Offence Other </c:v>
                </c:pt>
                <c:pt idx="31">
                  <c:v>Sexual Offence – Rape </c:v>
                </c:pt>
                <c:pt idx="32">
                  <c:v>Sudden Death – Adult </c:v>
                </c:pt>
                <c:pt idx="33">
                  <c:v>Theft </c:v>
                </c:pt>
                <c:pt idx="34">
                  <c:v>Threats to Life </c:v>
                </c:pt>
                <c:pt idx="35">
                  <c:v>Traffic Offences </c:v>
                </c:pt>
                <c:pt idx="36">
                  <c:v>Vehicle Crime </c:v>
                </c:pt>
                <c:pt idx="37">
                  <c:v>Weapons Possession </c:v>
                </c:pt>
                <c:pt idx="38">
                  <c:v>Unknown </c:v>
                </c:pt>
              </c:strCache>
            </c:strRef>
          </c:cat>
          <c:val>
            <c:numRef>
              <c:f>Sheet1!$C$2:$C$40</c:f>
              <c:numCache>
                <c:formatCode>General</c:formatCode>
                <c:ptCount val="39"/>
                <c:pt idx="0">
                  <c:v>81</c:v>
                </c:pt>
                <c:pt idx="1">
                  <c:v>2</c:v>
                </c:pt>
                <c:pt idx="2">
                  <c:v>55</c:v>
                </c:pt>
                <c:pt idx="3">
                  <c:v>513</c:v>
                </c:pt>
                <c:pt idx="4">
                  <c:v>69</c:v>
                </c:pt>
                <c:pt idx="5">
                  <c:v>1</c:v>
                </c:pt>
                <c:pt idx="6">
                  <c:v>37</c:v>
                </c:pt>
                <c:pt idx="7">
                  <c:v>324</c:v>
                </c:pt>
                <c:pt idx="8">
                  <c:v>3</c:v>
                </c:pt>
                <c:pt idx="9">
                  <c:v>1</c:v>
                </c:pt>
                <c:pt idx="10">
                  <c:v>39</c:v>
                </c:pt>
                <c:pt idx="11">
                  <c:v>208</c:v>
                </c:pt>
                <c:pt idx="12">
                  <c:v>7</c:v>
                </c:pt>
                <c:pt idx="13">
                  <c:v>0</c:v>
                </c:pt>
                <c:pt idx="14">
                  <c:v>56</c:v>
                </c:pt>
                <c:pt idx="15">
                  <c:v>2</c:v>
                </c:pt>
                <c:pt idx="16">
                  <c:v>1</c:v>
                </c:pt>
                <c:pt idx="17">
                  <c:v>0</c:v>
                </c:pt>
                <c:pt idx="18">
                  <c:v>4</c:v>
                </c:pt>
                <c:pt idx="19">
                  <c:v>201</c:v>
                </c:pt>
                <c:pt idx="20">
                  <c:v>12</c:v>
                </c:pt>
                <c:pt idx="21">
                  <c:v>1</c:v>
                </c:pt>
                <c:pt idx="22">
                  <c:v>5</c:v>
                </c:pt>
                <c:pt idx="23">
                  <c:v>60</c:v>
                </c:pt>
                <c:pt idx="24">
                  <c:v>39</c:v>
                </c:pt>
                <c:pt idx="25">
                  <c:v>1</c:v>
                </c:pt>
                <c:pt idx="26">
                  <c:v>6</c:v>
                </c:pt>
                <c:pt idx="27">
                  <c:v>0</c:v>
                </c:pt>
                <c:pt idx="28">
                  <c:v>0</c:v>
                </c:pt>
                <c:pt idx="29">
                  <c:v>0</c:v>
                </c:pt>
                <c:pt idx="30">
                  <c:v>92</c:v>
                </c:pt>
                <c:pt idx="31">
                  <c:v>12</c:v>
                </c:pt>
                <c:pt idx="32">
                  <c:v>1</c:v>
                </c:pt>
                <c:pt idx="33">
                  <c:v>120</c:v>
                </c:pt>
                <c:pt idx="34">
                  <c:v>16</c:v>
                </c:pt>
                <c:pt idx="35">
                  <c:v>0</c:v>
                </c:pt>
                <c:pt idx="36">
                  <c:v>54</c:v>
                </c:pt>
                <c:pt idx="37">
                  <c:v>6</c:v>
                </c:pt>
                <c:pt idx="38">
                  <c:v>21</c:v>
                </c:pt>
              </c:numCache>
            </c:numRef>
          </c:val>
        </c:ser>
        <c:dLbls>
          <c:showLegendKey val="0"/>
          <c:showVal val="0"/>
          <c:showCatName val="0"/>
          <c:showSerName val="0"/>
          <c:showPercent val="0"/>
          <c:showBubbleSize val="0"/>
        </c:dLbls>
        <c:gapWidth val="219"/>
        <c:overlap val="-27"/>
        <c:axId val="586594784"/>
        <c:axId val="586595176"/>
      </c:barChart>
      <c:catAx>
        <c:axId val="58659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595176"/>
        <c:crosses val="autoZero"/>
        <c:auto val="1"/>
        <c:lblAlgn val="ctr"/>
        <c:lblOffset val="100"/>
        <c:noMultiLvlLbl val="0"/>
      </c:catAx>
      <c:valAx>
        <c:axId val="58659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59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Sexual Orientation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Sheet1!$B$2:$B$8</c:f>
              <c:numCache>
                <c:formatCode>General</c:formatCode>
                <c:ptCount val="7"/>
                <c:pt idx="0">
                  <c:v>8</c:v>
                </c:pt>
                <c:pt idx="1">
                  <c:v>4</c:v>
                </c:pt>
                <c:pt idx="2">
                  <c:v>517</c:v>
                </c:pt>
                <c:pt idx="3">
                  <c:v>8</c:v>
                </c:pt>
                <c:pt idx="4">
                  <c:v>0</c:v>
                </c:pt>
                <c:pt idx="5">
                  <c:v>73</c:v>
                </c:pt>
                <c:pt idx="6">
                  <c:v>930</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Gay </c:v>
                </c:pt>
                <c:pt idx="1">
                  <c:v>Lesbian</c:v>
                </c:pt>
                <c:pt idx="2">
                  <c:v>Hetrosexual</c:v>
                </c:pt>
                <c:pt idx="3">
                  <c:v>Bisexual</c:v>
                </c:pt>
                <c:pt idx="4">
                  <c:v>Other </c:v>
                </c:pt>
                <c:pt idx="5">
                  <c:v>Prefer Not to Say</c:v>
                </c:pt>
                <c:pt idx="6">
                  <c:v>Unknown</c:v>
                </c:pt>
              </c:strCache>
            </c:strRef>
          </c:cat>
          <c:val>
            <c:numRef>
              <c:f>Sheet1!$C$2:$C$8</c:f>
              <c:numCache>
                <c:formatCode>General</c:formatCode>
                <c:ptCount val="7"/>
                <c:pt idx="0">
                  <c:v>16</c:v>
                </c:pt>
                <c:pt idx="1">
                  <c:v>12</c:v>
                </c:pt>
                <c:pt idx="2">
                  <c:v>1347</c:v>
                </c:pt>
                <c:pt idx="3">
                  <c:v>18</c:v>
                </c:pt>
                <c:pt idx="4">
                  <c:v>2</c:v>
                </c:pt>
                <c:pt idx="5">
                  <c:v>89</c:v>
                </c:pt>
                <c:pt idx="6">
                  <c:v>570</c:v>
                </c:pt>
              </c:numCache>
            </c:numRef>
          </c:val>
        </c:ser>
        <c:dLbls>
          <c:showLegendKey val="0"/>
          <c:showVal val="1"/>
          <c:showCatName val="0"/>
          <c:showSerName val="0"/>
          <c:showPercent val="0"/>
          <c:showBubbleSize val="0"/>
        </c:dLbls>
        <c:gapWidth val="150"/>
        <c:overlap val="-25"/>
        <c:axId val="509190624"/>
        <c:axId val="509210616"/>
      </c:barChart>
      <c:catAx>
        <c:axId val="50919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10616"/>
        <c:crosses val="autoZero"/>
        <c:auto val="1"/>
        <c:lblAlgn val="ctr"/>
        <c:lblOffset val="100"/>
        <c:noMultiLvlLbl val="0"/>
      </c:catAx>
      <c:valAx>
        <c:axId val="509210616"/>
        <c:scaling>
          <c:orientation val="minMax"/>
        </c:scaling>
        <c:delete val="1"/>
        <c:axPos val="l"/>
        <c:numFmt formatCode="General" sourceLinked="1"/>
        <c:majorTickMark val="none"/>
        <c:minorTickMark val="none"/>
        <c:tickLblPos val="nextTo"/>
        <c:crossAx val="509190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Communication Needs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Hearing</c:v>
                </c:pt>
                <c:pt idx="1">
                  <c:v>No Need</c:v>
                </c:pt>
                <c:pt idx="2">
                  <c:v>Lack of Privacy</c:v>
                </c:pt>
                <c:pt idx="3">
                  <c:v>Speech Impairment</c:v>
                </c:pt>
                <c:pt idx="4">
                  <c:v>Language </c:v>
                </c:pt>
                <c:pt idx="5">
                  <c:v>Vulnerable </c:v>
                </c:pt>
                <c:pt idx="6">
                  <c:v>Other</c:v>
                </c:pt>
                <c:pt idx="7">
                  <c:v>Unknown</c:v>
                </c:pt>
              </c:strCache>
            </c:strRef>
          </c:cat>
          <c:val>
            <c:numRef>
              <c:f>Sheet1!$B$2:$B$9</c:f>
              <c:numCache>
                <c:formatCode>General</c:formatCode>
                <c:ptCount val="8"/>
                <c:pt idx="0">
                  <c:v>8</c:v>
                </c:pt>
                <c:pt idx="1">
                  <c:v>1201</c:v>
                </c:pt>
                <c:pt idx="2">
                  <c:v>2</c:v>
                </c:pt>
                <c:pt idx="3">
                  <c:v>0</c:v>
                </c:pt>
                <c:pt idx="4">
                  <c:v>20</c:v>
                </c:pt>
                <c:pt idx="5">
                  <c:v>23</c:v>
                </c:pt>
                <c:pt idx="6">
                  <c:v>1</c:v>
                </c:pt>
                <c:pt idx="7">
                  <c:v>0</c:v>
                </c:pt>
              </c:numCache>
            </c:numRef>
          </c:val>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Hearing</c:v>
                </c:pt>
                <c:pt idx="1">
                  <c:v>No Need</c:v>
                </c:pt>
                <c:pt idx="2">
                  <c:v>Lack of Privacy</c:v>
                </c:pt>
                <c:pt idx="3">
                  <c:v>Speech Impairment</c:v>
                </c:pt>
                <c:pt idx="4">
                  <c:v>Language </c:v>
                </c:pt>
                <c:pt idx="5">
                  <c:v>Vulnerable </c:v>
                </c:pt>
                <c:pt idx="6">
                  <c:v>Other</c:v>
                </c:pt>
                <c:pt idx="7">
                  <c:v>Unknown</c:v>
                </c:pt>
              </c:strCache>
            </c:strRef>
          </c:cat>
          <c:val>
            <c:numRef>
              <c:f>Sheet1!$C$2:$C$9</c:f>
              <c:numCache>
                <c:formatCode>General</c:formatCode>
                <c:ptCount val="8"/>
                <c:pt idx="0">
                  <c:v>30</c:v>
                </c:pt>
                <c:pt idx="1">
                  <c:v>1302</c:v>
                </c:pt>
                <c:pt idx="2">
                  <c:v>1</c:v>
                </c:pt>
                <c:pt idx="3">
                  <c:v>12</c:v>
                </c:pt>
                <c:pt idx="4">
                  <c:v>62</c:v>
                </c:pt>
                <c:pt idx="5">
                  <c:v>42</c:v>
                </c:pt>
                <c:pt idx="6">
                  <c:v>31</c:v>
                </c:pt>
                <c:pt idx="7">
                  <c:v>574</c:v>
                </c:pt>
              </c:numCache>
            </c:numRef>
          </c:val>
        </c:ser>
        <c:dLbls>
          <c:showLegendKey val="0"/>
          <c:showVal val="1"/>
          <c:showCatName val="0"/>
          <c:showSerName val="0"/>
          <c:showPercent val="0"/>
          <c:showBubbleSize val="0"/>
        </c:dLbls>
        <c:gapWidth val="150"/>
        <c:overlap val="-25"/>
        <c:axId val="509211400"/>
        <c:axId val="509211792"/>
      </c:barChart>
      <c:catAx>
        <c:axId val="50921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11792"/>
        <c:crosses val="autoZero"/>
        <c:auto val="1"/>
        <c:lblAlgn val="ctr"/>
        <c:lblOffset val="100"/>
        <c:noMultiLvlLbl val="0"/>
      </c:catAx>
      <c:valAx>
        <c:axId val="509211792"/>
        <c:scaling>
          <c:orientation val="minMax"/>
        </c:scaling>
        <c:delete val="1"/>
        <c:axPos val="l"/>
        <c:numFmt formatCode="General" sourceLinked="1"/>
        <c:majorTickMark val="none"/>
        <c:minorTickMark val="none"/>
        <c:tickLblPos val="nextTo"/>
        <c:crossAx val="5092114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Geographical Area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Sheet1!$A$2:$A$61</c:f>
              <c:strCache>
                <c:ptCount val="60"/>
                <c:pt idx="0">
                  <c:v>Abbey</c:v>
                </c:pt>
                <c:pt idx="1">
                  <c:v>Aylestone </c:v>
                </c:pt>
                <c:pt idx="2">
                  <c:v>Aylestone Park</c:v>
                </c:pt>
                <c:pt idx="3">
                  <c:v>Beaumont Leys</c:v>
                </c:pt>
                <c:pt idx="4">
                  <c:v>Belgrave</c:v>
                </c:pt>
                <c:pt idx="5">
                  <c:v>Blaby</c:v>
                </c:pt>
                <c:pt idx="6">
                  <c:v>Braunstone </c:v>
                </c:pt>
                <c:pt idx="7">
                  <c:v>Braunstone East</c:v>
                </c:pt>
                <c:pt idx="8">
                  <c:v>Braunstone Town </c:v>
                </c:pt>
                <c:pt idx="9">
                  <c:v>Braunstone West </c:v>
                </c:pt>
                <c:pt idx="10">
                  <c:v>Castle </c:v>
                </c:pt>
                <c:pt idx="11">
                  <c:v>Castle Hill </c:v>
                </c:pt>
                <c:pt idx="12">
                  <c:v>Charnwood </c:v>
                </c:pt>
                <c:pt idx="13">
                  <c:v>City Centre and St Andrews </c:v>
                </c:pt>
                <c:pt idx="14">
                  <c:v>Clarendon </c:v>
                </c:pt>
                <c:pt idx="15">
                  <c:v>Coleman</c:v>
                </c:pt>
                <c:pt idx="16">
                  <c:v>Cottesmore </c:v>
                </c:pt>
                <c:pt idx="17">
                  <c:v>Crown Hills </c:v>
                </c:pt>
                <c:pt idx="18">
                  <c:v>Evington</c:v>
                </c:pt>
                <c:pt idx="19">
                  <c:v>Eyres Monsell </c:v>
                </c:pt>
                <c:pt idx="20">
                  <c:v>Fosse </c:v>
                </c:pt>
                <c:pt idx="21">
                  <c:v>Freeman</c:v>
                </c:pt>
                <c:pt idx="22">
                  <c:v>Greetham</c:v>
                </c:pt>
                <c:pt idx="23">
                  <c:v>Hamilton</c:v>
                </c:pt>
                <c:pt idx="24">
                  <c:v>Harborough</c:v>
                </c:pt>
                <c:pt idx="25">
                  <c:v>Hinckley and Bosworth </c:v>
                </c:pt>
                <c:pt idx="26">
                  <c:v>Humberstone</c:v>
                </c:pt>
                <c:pt idx="27">
                  <c:v>Ketton</c:v>
                </c:pt>
                <c:pt idx="28">
                  <c:v>Knighton </c:v>
                </c:pt>
                <c:pt idx="29">
                  <c:v>Latimer </c:v>
                </c:pt>
                <c:pt idx="30">
                  <c:v>Laugham </c:v>
                </c:pt>
                <c:pt idx="31">
                  <c:v>Market Bosworth </c:v>
                </c:pt>
                <c:pt idx="32">
                  <c:v>Market Harborough</c:v>
                </c:pt>
                <c:pt idx="33">
                  <c:v>Martinsthorpe</c:v>
                </c:pt>
                <c:pt idx="34">
                  <c:v>Melton</c:v>
                </c:pt>
                <c:pt idx="35">
                  <c:v>Netherhall and Thurnby Lodge </c:v>
                </c:pt>
                <c:pt idx="36">
                  <c:v>New Parks </c:v>
                </c:pt>
                <c:pt idx="37">
                  <c:v>New Parks West </c:v>
                </c:pt>
                <c:pt idx="38">
                  <c:v>North West Leicester </c:v>
                </c:pt>
                <c:pt idx="39">
                  <c:v>Northfields </c:v>
                </c:pt>
                <c:pt idx="40">
                  <c:v>Oadby and Wigston</c:v>
                </c:pt>
                <c:pt idx="41">
                  <c:v>Oakham </c:v>
                </c:pt>
                <c:pt idx="42">
                  <c:v>Rowley Fields </c:v>
                </c:pt>
                <c:pt idx="43">
                  <c:v>Rushey Fields </c:v>
                </c:pt>
                <c:pt idx="44">
                  <c:v>Rushey Mead </c:v>
                </c:pt>
                <c:pt idx="45">
                  <c:v>Rutland </c:v>
                </c:pt>
                <c:pt idx="46">
                  <c:v>Ryhall and Casterton </c:v>
                </c:pt>
                <c:pt idx="47">
                  <c:v>Saffron</c:v>
                </c:pt>
                <c:pt idx="48">
                  <c:v>Spinney Hill </c:v>
                </c:pt>
                <c:pt idx="49">
                  <c:v>Stoneygate </c:v>
                </c:pt>
                <c:pt idx="50">
                  <c:v>South Knighton</c:v>
                </c:pt>
                <c:pt idx="51">
                  <c:v>Thurncote </c:v>
                </c:pt>
                <c:pt idx="52">
                  <c:v>Uppingham</c:v>
                </c:pt>
                <c:pt idx="53">
                  <c:v>Westcotes </c:v>
                </c:pt>
                <c:pt idx="54">
                  <c:v>West End </c:v>
                </c:pt>
                <c:pt idx="55">
                  <c:v>Western Park </c:v>
                </c:pt>
                <c:pt idx="56">
                  <c:v>West Knighton</c:v>
                </c:pt>
                <c:pt idx="57">
                  <c:v>Wycliffe</c:v>
                </c:pt>
                <c:pt idx="58">
                  <c:v>Other than Leicester </c:v>
                </c:pt>
                <c:pt idx="59">
                  <c:v>Unknown </c:v>
                </c:pt>
              </c:strCache>
            </c:strRef>
          </c:cat>
          <c:val>
            <c:numRef>
              <c:f>Sheet1!$B$2:$B$61</c:f>
              <c:numCache>
                <c:formatCode>General</c:formatCode>
                <c:ptCount val="60"/>
                <c:pt idx="0">
                  <c:v>124</c:v>
                </c:pt>
                <c:pt idx="1">
                  <c:v>45</c:v>
                </c:pt>
                <c:pt idx="2">
                  <c:v>1</c:v>
                </c:pt>
                <c:pt idx="3">
                  <c:v>128</c:v>
                </c:pt>
                <c:pt idx="4">
                  <c:v>57</c:v>
                </c:pt>
                <c:pt idx="5">
                  <c:v>280</c:v>
                </c:pt>
                <c:pt idx="6">
                  <c:v>109</c:v>
                </c:pt>
                <c:pt idx="7">
                  <c:v>1</c:v>
                </c:pt>
                <c:pt idx="8">
                  <c:v>42</c:v>
                </c:pt>
                <c:pt idx="9">
                  <c:v>1</c:v>
                </c:pt>
                <c:pt idx="10">
                  <c:v>182</c:v>
                </c:pt>
                <c:pt idx="11">
                  <c:v>2</c:v>
                </c:pt>
                <c:pt idx="12">
                  <c:v>679</c:v>
                </c:pt>
                <c:pt idx="13">
                  <c:v>417</c:v>
                </c:pt>
                <c:pt idx="14">
                  <c:v>6</c:v>
                </c:pt>
                <c:pt idx="15">
                  <c:v>32</c:v>
                </c:pt>
                <c:pt idx="16">
                  <c:v>2</c:v>
                </c:pt>
                <c:pt idx="17">
                  <c:v>1</c:v>
                </c:pt>
                <c:pt idx="18">
                  <c:v>79</c:v>
                </c:pt>
                <c:pt idx="19">
                  <c:v>47</c:v>
                </c:pt>
                <c:pt idx="20">
                  <c:v>63</c:v>
                </c:pt>
                <c:pt idx="21">
                  <c:v>59</c:v>
                </c:pt>
                <c:pt idx="22">
                  <c:v>0</c:v>
                </c:pt>
                <c:pt idx="23">
                  <c:v>20</c:v>
                </c:pt>
                <c:pt idx="24">
                  <c:v>268</c:v>
                </c:pt>
                <c:pt idx="25">
                  <c:v>352</c:v>
                </c:pt>
                <c:pt idx="26">
                  <c:v>47</c:v>
                </c:pt>
                <c:pt idx="27">
                  <c:v>0</c:v>
                </c:pt>
                <c:pt idx="28">
                  <c:v>61</c:v>
                </c:pt>
                <c:pt idx="29">
                  <c:v>34</c:v>
                </c:pt>
                <c:pt idx="30">
                  <c:v>1</c:v>
                </c:pt>
                <c:pt idx="31">
                  <c:v>6</c:v>
                </c:pt>
                <c:pt idx="32">
                  <c:v>5</c:v>
                </c:pt>
                <c:pt idx="33">
                  <c:v>0</c:v>
                </c:pt>
                <c:pt idx="34">
                  <c:v>110</c:v>
                </c:pt>
                <c:pt idx="35">
                  <c:v>4</c:v>
                </c:pt>
                <c:pt idx="36">
                  <c:v>121</c:v>
                </c:pt>
                <c:pt idx="37">
                  <c:v>0</c:v>
                </c:pt>
                <c:pt idx="38">
                  <c:v>284</c:v>
                </c:pt>
                <c:pt idx="39">
                  <c:v>8</c:v>
                </c:pt>
                <c:pt idx="40">
                  <c:v>166</c:v>
                </c:pt>
                <c:pt idx="41">
                  <c:v>8</c:v>
                </c:pt>
                <c:pt idx="42">
                  <c:v>26</c:v>
                </c:pt>
                <c:pt idx="43">
                  <c:v>0</c:v>
                </c:pt>
                <c:pt idx="44">
                  <c:v>55</c:v>
                </c:pt>
                <c:pt idx="45">
                  <c:v>51</c:v>
                </c:pt>
                <c:pt idx="46">
                  <c:v>1</c:v>
                </c:pt>
                <c:pt idx="47">
                  <c:v>38</c:v>
                </c:pt>
                <c:pt idx="48">
                  <c:v>73</c:v>
                </c:pt>
                <c:pt idx="49">
                  <c:v>75</c:v>
                </c:pt>
                <c:pt idx="50">
                  <c:v>0</c:v>
                </c:pt>
                <c:pt idx="51">
                  <c:v>50</c:v>
                </c:pt>
                <c:pt idx="52">
                  <c:v>1</c:v>
                </c:pt>
                <c:pt idx="53">
                  <c:v>78</c:v>
                </c:pt>
                <c:pt idx="54">
                  <c:v>0</c:v>
                </c:pt>
                <c:pt idx="55">
                  <c:v>81</c:v>
                </c:pt>
                <c:pt idx="56">
                  <c:v>1</c:v>
                </c:pt>
                <c:pt idx="57">
                  <c:v>10</c:v>
                </c:pt>
                <c:pt idx="58">
                  <c:v>211</c:v>
                </c:pt>
                <c:pt idx="59" formatCode="#,##0">
                  <c:v>1533</c:v>
                </c:pt>
              </c:numCache>
            </c:numRef>
          </c:val>
        </c:ser>
        <c:ser>
          <c:idx val="1"/>
          <c:order val="1"/>
          <c:tx>
            <c:strRef>
              <c:f>Sheet1!$C$1</c:f>
              <c:strCache>
                <c:ptCount val="1"/>
                <c:pt idx="0">
                  <c:v>2016-2017</c:v>
                </c:pt>
              </c:strCache>
            </c:strRef>
          </c:tx>
          <c:spPr>
            <a:ln w="28575" cap="rnd">
              <a:solidFill>
                <a:schemeClr val="accent2"/>
              </a:solidFill>
              <a:round/>
            </a:ln>
            <a:effectLst/>
          </c:spPr>
          <c:invertIfNegative val="0"/>
          <c:cat>
            <c:strRef>
              <c:f>Sheet1!$A$2:$A$61</c:f>
              <c:strCache>
                <c:ptCount val="60"/>
                <c:pt idx="0">
                  <c:v>Abbey</c:v>
                </c:pt>
                <c:pt idx="1">
                  <c:v>Aylestone </c:v>
                </c:pt>
                <c:pt idx="2">
                  <c:v>Aylestone Park</c:v>
                </c:pt>
                <c:pt idx="3">
                  <c:v>Beaumont Leys</c:v>
                </c:pt>
                <c:pt idx="4">
                  <c:v>Belgrave</c:v>
                </c:pt>
                <c:pt idx="5">
                  <c:v>Blaby</c:v>
                </c:pt>
                <c:pt idx="6">
                  <c:v>Braunstone </c:v>
                </c:pt>
                <c:pt idx="7">
                  <c:v>Braunstone East</c:v>
                </c:pt>
                <c:pt idx="8">
                  <c:v>Braunstone Town </c:v>
                </c:pt>
                <c:pt idx="9">
                  <c:v>Braunstone West </c:v>
                </c:pt>
                <c:pt idx="10">
                  <c:v>Castle </c:v>
                </c:pt>
                <c:pt idx="11">
                  <c:v>Castle Hill </c:v>
                </c:pt>
                <c:pt idx="12">
                  <c:v>Charnwood </c:v>
                </c:pt>
                <c:pt idx="13">
                  <c:v>City Centre and St Andrews </c:v>
                </c:pt>
                <c:pt idx="14">
                  <c:v>Clarendon </c:v>
                </c:pt>
                <c:pt idx="15">
                  <c:v>Coleman</c:v>
                </c:pt>
                <c:pt idx="16">
                  <c:v>Cottesmore </c:v>
                </c:pt>
                <c:pt idx="17">
                  <c:v>Crown Hills </c:v>
                </c:pt>
                <c:pt idx="18">
                  <c:v>Evington</c:v>
                </c:pt>
                <c:pt idx="19">
                  <c:v>Eyres Monsell </c:v>
                </c:pt>
                <c:pt idx="20">
                  <c:v>Fosse </c:v>
                </c:pt>
                <c:pt idx="21">
                  <c:v>Freeman</c:v>
                </c:pt>
                <c:pt idx="22">
                  <c:v>Greetham</c:v>
                </c:pt>
                <c:pt idx="23">
                  <c:v>Hamilton</c:v>
                </c:pt>
                <c:pt idx="24">
                  <c:v>Harborough</c:v>
                </c:pt>
                <c:pt idx="25">
                  <c:v>Hinckley and Bosworth </c:v>
                </c:pt>
                <c:pt idx="26">
                  <c:v>Humberstone</c:v>
                </c:pt>
                <c:pt idx="27">
                  <c:v>Ketton</c:v>
                </c:pt>
                <c:pt idx="28">
                  <c:v>Knighton </c:v>
                </c:pt>
                <c:pt idx="29">
                  <c:v>Latimer </c:v>
                </c:pt>
                <c:pt idx="30">
                  <c:v>Laugham </c:v>
                </c:pt>
                <c:pt idx="31">
                  <c:v>Market Bosworth </c:v>
                </c:pt>
                <c:pt idx="32">
                  <c:v>Market Harborough</c:v>
                </c:pt>
                <c:pt idx="33">
                  <c:v>Martinsthorpe</c:v>
                </c:pt>
                <c:pt idx="34">
                  <c:v>Melton</c:v>
                </c:pt>
                <c:pt idx="35">
                  <c:v>Netherhall and Thurnby Lodge </c:v>
                </c:pt>
                <c:pt idx="36">
                  <c:v>New Parks </c:v>
                </c:pt>
                <c:pt idx="37">
                  <c:v>New Parks West </c:v>
                </c:pt>
                <c:pt idx="38">
                  <c:v>North West Leicester </c:v>
                </c:pt>
                <c:pt idx="39">
                  <c:v>Northfields </c:v>
                </c:pt>
                <c:pt idx="40">
                  <c:v>Oadby and Wigston</c:v>
                </c:pt>
                <c:pt idx="41">
                  <c:v>Oakham </c:v>
                </c:pt>
                <c:pt idx="42">
                  <c:v>Rowley Fields </c:v>
                </c:pt>
                <c:pt idx="43">
                  <c:v>Rushey Fields </c:v>
                </c:pt>
                <c:pt idx="44">
                  <c:v>Rushey Mead </c:v>
                </c:pt>
                <c:pt idx="45">
                  <c:v>Rutland </c:v>
                </c:pt>
                <c:pt idx="46">
                  <c:v>Ryhall and Casterton </c:v>
                </c:pt>
                <c:pt idx="47">
                  <c:v>Saffron</c:v>
                </c:pt>
                <c:pt idx="48">
                  <c:v>Spinney Hill </c:v>
                </c:pt>
                <c:pt idx="49">
                  <c:v>Stoneygate </c:v>
                </c:pt>
                <c:pt idx="50">
                  <c:v>South Knighton</c:v>
                </c:pt>
                <c:pt idx="51">
                  <c:v>Thurncote </c:v>
                </c:pt>
                <c:pt idx="52">
                  <c:v>Uppingham</c:v>
                </c:pt>
                <c:pt idx="53">
                  <c:v>Westcotes </c:v>
                </c:pt>
                <c:pt idx="54">
                  <c:v>West End </c:v>
                </c:pt>
                <c:pt idx="55">
                  <c:v>Western Park </c:v>
                </c:pt>
                <c:pt idx="56">
                  <c:v>West Knighton</c:v>
                </c:pt>
                <c:pt idx="57">
                  <c:v>Wycliffe</c:v>
                </c:pt>
                <c:pt idx="58">
                  <c:v>Other than Leicester </c:v>
                </c:pt>
                <c:pt idx="59">
                  <c:v>Unknown </c:v>
                </c:pt>
              </c:strCache>
            </c:strRef>
          </c:cat>
          <c:val>
            <c:numRef>
              <c:f>Sheet1!$C$2:$C$61</c:f>
              <c:numCache>
                <c:formatCode>General</c:formatCode>
                <c:ptCount val="60"/>
                <c:pt idx="0">
                  <c:v>379</c:v>
                </c:pt>
                <c:pt idx="1">
                  <c:v>177</c:v>
                </c:pt>
                <c:pt idx="2">
                  <c:v>1</c:v>
                </c:pt>
                <c:pt idx="3">
                  <c:v>287</c:v>
                </c:pt>
                <c:pt idx="4">
                  <c:v>250</c:v>
                </c:pt>
                <c:pt idx="5">
                  <c:v>617</c:v>
                </c:pt>
                <c:pt idx="6">
                  <c:v>458</c:v>
                </c:pt>
                <c:pt idx="7">
                  <c:v>1</c:v>
                </c:pt>
                <c:pt idx="8">
                  <c:v>135</c:v>
                </c:pt>
                <c:pt idx="9">
                  <c:v>0</c:v>
                </c:pt>
                <c:pt idx="10">
                  <c:v>615</c:v>
                </c:pt>
                <c:pt idx="11">
                  <c:v>177</c:v>
                </c:pt>
                <c:pt idx="12">
                  <c:v>1422</c:v>
                </c:pt>
                <c:pt idx="13">
                  <c:v>501</c:v>
                </c:pt>
                <c:pt idx="14">
                  <c:v>14</c:v>
                </c:pt>
                <c:pt idx="15">
                  <c:v>143</c:v>
                </c:pt>
                <c:pt idx="16">
                  <c:v>1</c:v>
                </c:pt>
                <c:pt idx="17">
                  <c:v>1</c:v>
                </c:pt>
                <c:pt idx="18">
                  <c:v>285</c:v>
                </c:pt>
                <c:pt idx="19">
                  <c:v>238</c:v>
                </c:pt>
                <c:pt idx="20">
                  <c:v>252</c:v>
                </c:pt>
                <c:pt idx="21">
                  <c:v>157</c:v>
                </c:pt>
                <c:pt idx="22">
                  <c:v>2</c:v>
                </c:pt>
                <c:pt idx="23">
                  <c:v>41</c:v>
                </c:pt>
                <c:pt idx="24">
                  <c:v>615</c:v>
                </c:pt>
                <c:pt idx="25">
                  <c:v>809</c:v>
                </c:pt>
                <c:pt idx="26">
                  <c:v>217</c:v>
                </c:pt>
                <c:pt idx="27">
                  <c:v>1</c:v>
                </c:pt>
                <c:pt idx="28">
                  <c:v>161</c:v>
                </c:pt>
                <c:pt idx="29">
                  <c:v>98</c:v>
                </c:pt>
                <c:pt idx="30">
                  <c:v>1</c:v>
                </c:pt>
                <c:pt idx="31">
                  <c:v>32</c:v>
                </c:pt>
                <c:pt idx="32">
                  <c:v>0</c:v>
                </c:pt>
                <c:pt idx="33">
                  <c:v>2</c:v>
                </c:pt>
                <c:pt idx="34">
                  <c:v>457</c:v>
                </c:pt>
                <c:pt idx="35">
                  <c:v>0</c:v>
                </c:pt>
                <c:pt idx="36">
                  <c:v>351</c:v>
                </c:pt>
                <c:pt idx="37">
                  <c:v>6</c:v>
                </c:pt>
                <c:pt idx="38">
                  <c:v>654</c:v>
                </c:pt>
                <c:pt idx="39">
                  <c:v>11</c:v>
                </c:pt>
                <c:pt idx="40">
                  <c:v>497</c:v>
                </c:pt>
                <c:pt idx="41">
                  <c:v>24</c:v>
                </c:pt>
                <c:pt idx="42">
                  <c:v>70</c:v>
                </c:pt>
                <c:pt idx="43">
                  <c:v>1</c:v>
                </c:pt>
                <c:pt idx="44">
                  <c:v>280</c:v>
                </c:pt>
                <c:pt idx="45">
                  <c:v>122</c:v>
                </c:pt>
                <c:pt idx="46">
                  <c:v>2</c:v>
                </c:pt>
                <c:pt idx="47">
                  <c:v>89</c:v>
                </c:pt>
                <c:pt idx="48">
                  <c:v>198</c:v>
                </c:pt>
                <c:pt idx="49">
                  <c:v>177</c:v>
                </c:pt>
                <c:pt idx="50">
                  <c:v>2</c:v>
                </c:pt>
                <c:pt idx="51">
                  <c:v>149</c:v>
                </c:pt>
                <c:pt idx="52">
                  <c:v>4</c:v>
                </c:pt>
                <c:pt idx="53">
                  <c:v>183</c:v>
                </c:pt>
                <c:pt idx="54">
                  <c:v>3</c:v>
                </c:pt>
                <c:pt idx="55">
                  <c:v>233</c:v>
                </c:pt>
                <c:pt idx="56">
                  <c:v>0</c:v>
                </c:pt>
                <c:pt idx="57">
                  <c:v>48</c:v>
                </c:pt>
                <c:pt idx="58">
                  <c:v>398</c:v>
                </c:pt>
                <c:pt idx="59">
                  <c:v>570</c:v>
                </c:pt>
              </c:numCache>
            </c:numRef>
          </c:val>
        </c:ser>
        <c:dLbls>
          <c:showLegendKey val="0"/>
          <c:showVal val="0"/>
          <c:showCatName val="0"/>
          <c:showSerName val="0"/>
          <c:showPercent val="0"/>
          <c:showBubbleSize val="0"/>
        </c:dLbls>
        <c:gapWidth val="150"/>
        <c:axId val="509212576"/>
        <c:axId val="509212968"/>
      </c:barChart>
      <c:catAx>
        <c:axId val="50921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12968"/>
        <c:crosses val="autoZero"/>
        <c:auto val="1"/>
        <c:lblAlgn val="ctr"/>
        <c:lblOffset val="100"/>
        <c:noMultiLvlLbl val="0"/>
      </c:catAx>
      <c:valAx>
        <c:axId val="50921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1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Length of</a:t>
            </a:r>
            <a:r>
              <a:rPr lang="en-GB" sz="1600" b="1" baseline="0">
                <a:solidFill>
                  <a:schemeClr val="tx1"/>
                </a:solidFill>
              </a:rPr>
              <a:t> Support </a:t>
            </a:r>
            <a:endParaRPr lang="en-GB" sz="16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Sheet1!$A$2:$A$23</c:f>
              <c:strCache>
                <c:ptCount val="22"/>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strCache>
            </c:strRef>
          </c:cat>
          <c:val>
            <c:numRef>
              <c:f>Sheet1!$B$2:$B$23</c:f>
              <c:numCache>
                <c:formatCode>General</c:formatCode>
                <c:ptCount val="22"/>
                <c:pt idx="0">
                  <c:v>609</c:v>
                </c:pt>
                <c:pt idx="1">
                  <c:v>67</c:v>
                </c:pt>
                <c:pt idx="2">
                  <c:v>159</c:v>
                </c:pt>
                <c:pt idx="3">
                  <c:v>107</c:v>
                </c:pt>
                <c:pt idx="4">
                  <c:v>84</c:v>
                </c:pt>
                <c:pt idx="5">
                  <c:v>92</c:v>
                </c:pt>
                <c:pt idx="6">
                  <c:v>42</c:v>
                </c:pt>
                <c:pt idx="7">
                  <c:v>68</c:v>
                </c:pt>
                <c:pt idx="8">
                  <c:v>56</c:v>
                </c:pt>
                <c:pt idx="9">
                  <c:v>31</c:v>
                </c:pt>
                <c:pt idx="10">
                  <c:v>13</c:v>
                </c:pt>
                <c:pt idx="11">
                  <c:v>9</c:v>
                </c:pt>
                <c:pt idx="12">
                  <c:v>7</c:v>
                </c:pt>
                <c:pt idx="13">
                  <c:v>1</c:v>
                </c:pt>
                <c:pt idx="14">
                  <c:v>2</c:v>
                </c:pt>
                <c:pt idx="15">
                  <c:v>0</c:v>
                </c:pt>
                <c:pt idx="16">
                  <c:v>1</c:v>
                </c:pt>
              </c:numCache>
            </c:numRef>
          </c:val>
        </c:ser>
        <c:ser>
          <c:idx val="1"/>
          <c:order val="1"/>
          <c:tx>
            <c:strRef>
              <c:f>Sheet1!$C$1</c:f>
              <c:strCache>
                <c:ptCount val="1"/>
                <c:pt idx="0">
                  <c:v>2016-2017</c:v>
                </c:pt>
              </c:strCache>
            </c:strRef>
          </c:tx>
          <c:spPr>
            <a:ln w="28575" cap="rnd">
              <a:solidFill>
                <a:schemeClr val="accent2"/>
              </a:solidFill>
              <a:round/>
            </a:ln>
            <a:effectLst/>
          </c:spPr>
          <c:invertIfNegative val="0"/>
          <c:cat>
            <c:strRef>
              <c:f>Sheet1!$A$2:$A$23</c:f>
              <c:strCache>
                <c:ptCount val="22"/>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strCache>
            </c:strRef>
          </c:cat>
          <c:val>
            <c:numRef>
              <c:f>Sheet1!$C$2:$C$23</c:f>
              <c:numCache>
                <c:formatCode>General</c:formatCode>
                <c:ptCount val="22"/>
                <c:pt idx="0">
                  <c:v>589</c:v>
                </c:pt>
                <c:pt idx="1">
                  <c:v>74</c:v>
                </c:pt>
                <c:pt idx="2">
                  <c:v>158</c:v>
                </c:pt>
                <c:pt idx="3">
                  <c:v>137</c:v>
                </c:pt>
                <c:pt idx="4">
                  <c:v>135</c:v>
                </c:pt>
                <c:pt idx="5">
                  <c:v>108</c:v>
                </c:pt>
                <c:pt idx="6">
                  <c:v>124</c:v>
                </c:pt>
                <c:pt idx="7">
                  <c:v>386</c:v>
                </c:pt>
                <c:pt idx="8">
                  <c:v>169</c:v>
                </c:pt>
                <c:pt idx="9">
                  <c:v>82</c:v>
                </c:pt>
                <c:pt idx="10">
                  <c:v>40</c:v>
                </c:pt>
                <c:pt idx="11">
                  <c:v>22</c:v>
                </c:pt>
                <c:pt idx="12">
                  <c:v>17</c:v>
                </c:pt>
                <c:pt idx="13">
                  <c:v>8</c:v>
                </c:pt>
                <c:pt idx="14">
                  <c:v>0</c:v>
                </c:pt>
                <c:pt idx="15">
                  <c:v>0</c:v>
                </c:pt>
                <c:pt idx="16">
                  <c:v>3</c:v>
                </c:pt>
                <c:pt idx="17">
                  <c:v>0</c:v>
                </c:pt>
                <c:pt idx="18">
                  <c:v>0</c:v>
                </c:pt>
                <c:pt idx="19">
                  <c:v>0</c:v>
                </c:pt>
                <c:pt idx="20">
                  <c:v>0</c:v>
                </c:pt>
                <c:pt idx="21">
                  <c:v>2</c:v>
                </c:pt>
              </c:numCache>
            </c:numRef>
          </c:val>
        </c:ser>
        <c:dLbls>
          <c:showLegendKey val="0"/>
          <c:showVal val="0"/>
          <c:showCatName val="0"/>
          <c:showSerName val="0"/>
          <c:showPercent val="0"/>
          <c:showBubbleSize val="0"/>
        </c:dLbls>
        <c:gapWidth val="150"/>
        <c:axId val="509213752"/>
        <c:axId val="509214144"/>
      </c:barChart>
      <c:catAx>
        <c:axId val="50921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14144"/>
        <c:crosses val="autoZero"/>
        <c:auto val="1"/>
        <c:lblAlgn val="ctr"/>
        <c:lblOffset val="100"/>
        <c:noMultiLvlLbl val="0"/>
      </c:catAx>
      <c:valAx>
        <c:axId val="50921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1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400"/>
              <a:t>How Many Victims Reported to the Police prior to support they received from Victim First?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Not Applicable </c:v>
                </c:pt>
              </c:strCache>
            </c:strRef>
          </c:cat>
          <c:val>
            <c:numRef>
              <c:f>Sheet1!$B$2:$B$4</c:f>
              <c:numCache>
                <c:formatCode>General</c:formatCode>
                <c:ptCount val="3"/>
                <c:pt idx="0">
                  <c:v>60</c:v>
                </c:pt>
                <c:pt idx="1">
                  <c:v>88</c:v>
                </c:pt>
                <c:pt idx="2">
                  <c:v>6</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Not Applicable </c:v>
                </c:pt>
              </c:strCache>
            </c:strRef>
          </c:cat>
          <c:val>
            <c:numRef>
              <c:f>Sheet1!$C$2:$C$4</c:f>
              <c:numCache>
                <c:formatCode>General</c:formatCode>
                <c:ptCount val="3"/>
                <c:pt idx="0">
                  <c:v>53</c:v>
                </c:pt>
                <c:pt idx="1">
                  <c:v>79</c:v>
                </c:pt>
                <c:pt idx="2">
                  <c:v>6</c:v>
                </c:pt>
              </c:numCache>
            </c:numRef>
          </c:val>
        </c:ser>
        <c:dLbls>
          <c:dLblPos val="outEnd"/>
          <c:showLegendKey val="0"/>
          <c:showVal val="1"/>
          <c:showCatName val="0"/>
          <c:showSerName val="0"/>
          <c:showPercent val="0"/>
          <c:showBubbleSize val="0"/>
        </c:dLbls>
        <c:gapWidth val="444"/>
        <c:overlap val="-90"/>
        <c:axId val="586595960"/>
        <c:axId val="586596352"/>
      </c:barChart>
      <c:catAx>
        <c:axId val="586595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596352"/>
        <c:crosses val="autoZero"/>
        <c:auto val="1"/>
        <c:lblAlgn val="ctr"/>
        <c:lblOffset val="100"/>
        <c:noMultiLvlLbl val="0"/>
      </c:catAx>
      <c:valAx>
        <c:axId val="586596352"/>
        <c:scaling>
          <c:orientation val="minMax"/>
        </c:scaling>
        <c:delete val="1"/>
        <c:axPos val="l"/>
        <c:numFmt formatCode="General" sourceLinked="1"/>
        <c:majorTickMark val="none"/>
        <c:minorTickMark val="none"/>
        <c:tickLblPos val="nextTo"/>
        <c:crossAx val="586595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400"/>
              <a:t>How Many Victims Reported to the Police as a result of support they received from Victim First? </a:t>
            </a:r>
          </a:p>
        </c:rich>
      </c:tx>
      <c:overlay val="0"/>
      <c:spPr>
        <a:noFill/>
        <a:ln>
          <a:noFill/>
        </a:ln>
        <a:effectLst/>
      </c:spPr>
    </c:title>
    <c:autoTitleDeleted val="0"/>
    <c:plotArea>
      <c:layout>
        <c:manualLayout>
          <c:layoutTarget val="inner"/>
          <c:xMode val="edge"/>
          <c:yMode val="edge"/>
          <c:x val="2.6589851539995567E-2"/>
          <c:y val="0.38055754172789685"/>
          <c:w val="0.95125193884334147"/>
          <c:h val="0.54389284904846502"/>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Not Applicable </c:v>
                </c:pt>
              </c:strCache>
            </c:strRef>
          </c:cat>
          <c:val>
            <c:numRef>
              <c:f>Sheet1!$B$2:$B$4</c:f>
              <c:numCache>
                <c:formatCode>General</c:formatCode>
                <c:ptCount val="3"/>
                <c:pt idx="0">
                  <c:v>2</c:v>
                </c:pt>
                <c:pt idx="1">
                  <c:v>125</c:v>
                </c:pt>
                <c:pt idx="2">
                  <c:v>18</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Not Applicable </c:v>
                </c:pt>
              </c:strCache>
            </c:strRef>
          </c:cat>
          <c:val>
            <c:numRef>
              <c:f>Sheet1!$C$2:$C$4</c:f>
              <c:numCache>
                <c:formatCode>General</c:formatCode>
                <c:ptCount val="3"/>
                <c:pt idx="0">
                  <c:v>3</c:v>
                </c:pt>
                <c:pt idx="1">
                  <c:v>121</c:v>
                </c:pt>
                <c:pt idx="2">
                  <c:v>19</c:v>
                </c:pt>
              </c:numCache>
            </c:numRef>
          </c:val>
        </c:ser>
        <c:dLbls>
          <c:dLblPos val="outEnd"/>
          <c:showLegendKey val="0"/>
          <c:showVal val="1"/>
          <c:showCatName val="0"/>
          <c:showSerName val="0"/>
          <c:showPercent val="0"/>
          <c:showBubbleSize val="0"/>
        </c:dLbls>
        <c:gapWidth val="444"/>
        <c:overlap val="-90"/>
        <c:axId val="586597136"/>
        <c:axId val="586597528"/>
      </c:barChart>
      <c:catAx>
        <c:axId val="586597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597528"/>
        <c:crosses val="autoZero"/>
        <c:auto val="1"/>
        <c:lblAlgn val="ctr"/>
        <c:lblOffset val="100"/>
        <c:noMultiLvlLbl val="0"/>
      </c:catAx>
      <c:valAx>
        <c:axId val="586597528"/>
        <c:scaling>
          <c:orientation val="minMax"/>
        </c:scaling>
        <c:delete val="1"/>
        <c:axPos val="l"/>
        <c:numFmt formatCode="General" sourceLinked="1"/>
        <c:majorTickMark val="none"/>
        <c:minorTickMark val="none"/>
        <c:tickLblPos val="nextTo"/>
        <c:crossAx val="586597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723</c:v>
                </c:pt>
                <c:pt idx="1">
                  <c:v>11257</c:v>
                </c:pt>
                <c:pt idx="2">
                  <c:v>526</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222</c:v>
                </c:pt>
                <c:pt idx="1">
                  <c:v>1679</c:v>
                </c:pt>
                <c:pt idx="2">
                  <c:v>135</c:v>
                </c:pt>
              </c:numCache>
            </c:numRef>
          </c:val>
        </c:ser>
        <c:dLbls>
          <c:dLblPos val="outEnd"/>
          <c:showLegendKey val="0"/>
          <c:showVal val="1"/>
          <c:showCatName val="0"/>
          <c:showSerName val="0"/>
          <c:showPercent val="0"/>
          <c:showBubbleSize val="0"/>
        </c:dLbls>
        <c:gapWidth val="444"/>
        <c:overlap val="-90"/>
        <c:axId val="586598312"/>
        <c:axId val="586598704"/>
      </c:barChart>
      <c:catAx>
        <c:axId val="586598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598704"/>
        <c:crosses val="autoZero"/>
        <c:auto val="1"/>
        <c:lblAlgn val="ctr"/>
        <c:lblOffset val="100"/>
        <c:noMultiLvlLbl val="0"/>
      </c:catAx>
      <c:valAx>
        <c:axId val="586598704"/>
        <c:scaling>
          <c:orientation val="minMax"/>
        </c:scaling>
        <c:delete val="1"/>
        <c:axPos val="l"/>
        <c:numFmt formatCode="General" sourceLinked="1"/>
        <c:majorTickMark val="none"/>
        <c:minorTickMark val="none"/>
        <c:tickLblPos val="nextTo"/>
        <c:crossAx val="586598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Unknown </c:v>
                </c:pt>
              </c:strCache>
            </c:strRef>
          </c:cat>
          <c:val>
            <c:numRef>
              <c:f>Sheet1!$B$2:$B$4</c:f>
              <c:numCache>
                <c:formatCode>General</c:formatCode>
                <c:ptCount val="3"/>
                <c:pt idx="0">
                  <c:v>258</c:v>
                </c:pt>
                <c:pt idx="1">
                  <c:v>11674</c:v>
                </c:pt>
                <c:pt idx="2">
                  <c:v>779</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Unknown </c:v>
                </c:pt>
              </c:strCache>
            </c:strRef>
          </c:cat>
          <c:val>
            <c:numRef>
              <c:f>Sheet1!$C$2:$C$4</c:f>
              <c:numCache>
                <c:formatCode>General</c:formatCode>
                <c:ptCount val="3"/>
                <c:pt idx="0">
                  <c:v>68</c:v>
                </c:pt>
                <c:pt idx="1">
                  <c:v>1839</c:v>
                </c:pt>
                <c:pt idx="2">
                  <c:v>124</c:v>
                </c:pt>
              </c:numCache>
            </c:numRef>
          </c:val>
        </c:ser>
        <c:dLbls>
          <c:dLblPos val="outEnd"/>
          <c:showLegendKey val="0"/>
          <c:showVal val="1"/>
          <c:showCatName val="0"/>
          <c:showSerName val="0"/>
          <c:showPercent val="0"/>
          <c:showBubbleSize val="0"/>
        </c:dLbls>
        <c:gapWidth val="444"/>
        <c:overlap val="-90"/>
        <c:axId val="586599488"/>
        <c:axId val="586599880"/>
      </c:barChart>
      <c:catAx>
        <c:axId val="586599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599880"/>
        <c:crosses val="autoZero"/>
        <c:auto val="1"/>
        <c:lblAlgn val="ctr"/>
        <c:lblOffset val="100"/>
        <c:noMultiLvlLbl val="0"/>
      </c:catAx>
      <c:valAx>
        <c:axId val="586599880"/>
        <c:scaling>
          <c:orientation val="minMax"/>
        </c:scaling>
        <c:delete val="1"/>
        <c:axPos val="l"/>
        <c:numFmt formatCode="General" sourceLinked="1"/>
        <c:majorTickMark val="none"/>
        <c:minorTickMark val="none"/>
        <c:tickLblPos val="nextTo"/>
        <c:crossAx val="586599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Sheet1!$B$2:$B$8</c:f>
              <c:numCache>
                <c:formatCode>General</c:formatCode>
                <c:ptCount val="7"/>
                <c:pt idx="0">
                  <c:v>7218</c:v>
                </c:pt>
                <c:pt idx="1">
                  <c:v>5272</c:v>
                </c:pt>
                <c:pt idx="2">
                  <c:v>3</c:v>
                </c:pt>
                <c:pt idx="3">
                  <c:v>1</c:v>
                </c:pt>
                <c:pt idx="4">
                  <c:v>2</c:v>
                </c:pt>
                <c:pt idx="5">
                  <c:v>0</c:v>
                </c:pt>
                <c:pt idx="6">
                  <c:v>318</c:v>
                </c:pt>
              </c:numCache>
            </c:numRef>
          </c:val>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Sheet1!$C$2:$C$8</c:f>
              <c:numCache>
                <c:formatCode>General</c:formatCode>
                <c:ptCount val="7"/>
                <c:pt idx="0">
                  <c:v>1289</c:v>
                </c:pt>
                <c:pt idx="1">
                  <c:v>758</c:v>
                </c:pt>
                <c:pt idx="2">
                  <c:v>0</c:v>
                </c:pt>
                <c:pt idx="3">
                  <c:v>0</c:v>
                </c:pt>
                <c:pt idx="4">
                  <c:v>0</c:v>
                </c:pt>
                <c:pt idx="5">
                  <c:v>0</c:v>
                </c:pt>
                <c:pt idx="6">
                  <c:v>7</c:v>
                </c:pt>
              </c:numCache>
            </c:numRef>
          </c:val>
        </c:ser>
        <c:dLbls>
          <c:dLblPos val="outEnd"/>
          <c:showLegendKey val="0"/>
          <c:showVal val="1"/>
          <c:showCatName val="0"/>
          <c:showSerName val="0"/>
          <c:showPercent val="0"/>
          <c:showBubbleSize val="0"/>
        </c:dLbls>
        <c:gapWidth val="444"/>
        <c:axId val="586600664"/>
        <c:axId val="586601056"/>
      </c:barChart>
      <c:catAx>
        <c:axId val="586600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601056"/>
        <c:crosses val="autoZero"/>
        <c:auto val="1"/>
        <c:lblAlgn val="ctr"/>
        <c:lblOffset val="100"/>
        <c:noMultiLvlLbl val="0"/>
      </c:catAx>
      <c:valAx>
        <c:axId val="586601056"/>
        <c:scaling>
          <c:orientation val="minMax"/>
        </c:scaling>
        <c:delete val="1"/>
        <c:axPos val="l"/>
        <c:numFmt formatCode="General" sourceLinked="1"/>
        <c:majorTickMark val="none"/>
        <c:minorTickMark val="none"/>
        <c:tickLblPos val="nextTo"/>
        <c:crossAx val="586600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0351-C170-491D-B488-B6EACC5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Leicestshire Police</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Sunnar Manjeeta</dc:creator>
  <cp:lastModifiedBy>Kiggell Paul</cp:lastModifiedBy>
  <cp:revision>4</cp:revision>
  <cp:lastPrinted>2017-11-20T11:47:00Z</cp:lastPrinted>
  <dcterms:created xsi:type="dcterms:W3CDTF">2017-12-04T18:08:00Z</dcterms:created>
  <dcterms:modified xsi:type="dcterms:W3CDTF">2017-12-08T17:35:00Z</dcterms:modified>
</cp:coreProperties>
</file>